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LĨNH VỰC TÔN GIÁO</w:t>
      </w:r>
    </w:p>
    <w:p>
      <w:pPr>
        <w:spacing w:after="120"/>
        <w:ind w:left="360" w:firstLine="432"/>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 xml:space="preserve"> 7</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Đề nghị thay đổi địa điểm sinh h</w:t>
      </w:r>
      <w:bookmarkStart w:id="0" w:name="_GoBack"/>
      <w:bookmarkEnd w:id="0"/>
      <w:r>
        <w:rPr>
          <w:rFonts w:ascii="Times New Roman" w:hAnsi="Times New Roman" w:eastAsia="Times New Roman" w:cs="Times New Roman"/>
          <w:b/>
          <w:color w:val="000000" w:themeColor="text1"/>
          <w:sz w:val="26"/>
          <w:szCs w:val="26"/>
          <w:lang w:val="sv-SE"/>
          <w14:textFill>
            <w14:solidFill>
              <w14:schemeClr w14:val="tx1"/>
            </w14:solidFill>
          </w14:textFill>
        </w:rPr>
        <w:t>oạt tôn giáo tập trung trong địa bàn một xã - 1.001098</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7.1.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263"/>
        <w:gridCol w:w="2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26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263"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4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1134"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263"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1134"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263"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15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1134"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14 ngày làm việc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w:t>
            </w:r>
            <w:r>
              <w:rPr>
                <w:rFonts w:ascii="Times New Roman" w:hAnsi="Times New Roman" w:eastAsia="Times New Roman" w:cs="Times New Roman"/>
                <w:b/>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Trường hợp có quy định phải thẩm tra, xác minh hồ sơ.</w:t>
            </w:r>
          </w:p>
          <w:p>
            <w:pPr>
              <w:spacing w:before="80" w:after="8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xã giao cho công chức tham mưu, đề xuất;</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2,5 ngày làm việc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Chuyên viên;</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11 ngày làm việc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Công chức 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1134"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1134"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7.2.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0"/>
        <w:ind w:firstLine="72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Văn bản</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đề nghị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7.3.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Nhóm sinh hoạt tôn giáo tập trung thay đổi địa điểm sinh hoạt tôn giáo trong địa bàn một xã.</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7.4.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ind w:firstLine="720"/>
        <w:jc w:val="both"/>
        <w:rPr>
          <w:rFonts w:ascii="Times New Roman" w:hAnsi="Times New Roman" w:eastAsia="Times New Roman" w:cs="Times New Roman"/>
          <w:b/>
          <w:color w:val="000000" w:themeColor="text1"/>
          <w:spacing w:val="-4"/>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7.5.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pacing w:val="-4"/>
          <w:sz w:val="26"/>
          <w:szCs w:val="26"/>
          <w:lang w:val="sv-SE"/>
          <w14:textFill>
            <w14:solidFill>
              <w14:schemeClr w14:val="tx1"/>
            </w14:solidFill>
          </w14:textFill>
        </w:rPr>
        <w:t>Văn bản trả lời chấp thuận hoặc không chấp thuận về việc đề nghị thay đổi địa điểm sinh hoạt tôn giáo tập trung.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7.6.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7.7.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Đề nghị thay đổi địa điểm sinh hoạt tôn giáo tập trung</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(mẫu B</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7, </w:t>
      </w:r>
      <w:r>
        <w:rPr>
          <w:rFonts w:ascii="Times New Roman" w:hAnsi="Times New Roman" w:eastAsia="Times New Roman" w:cs="Times New Roman"/>
          <w:color w:val="000000" w:themeColor="text1"/>
          <w:sz w:val="26"/>
          <w:szCs w:val="26"/>
          <w:lang w:val="vi-VN"/>
          <w14:textFill>
            <w14:solidFill>
              <w14:schemeClr w14:val="tx1"/>
            </w14:solidFill>
          </w14:textFill>
        </w:rPr>
        <w:t>Phụ lục Nghị định số 162/2017/NĐ-CP ngày 30/12/2017).</w:t>
      </w:r>
    </w:p>
    <w:p>
      <w:pPr>
        <w:ind w:firstLine="720"/>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7.8.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 xml:space="preserve">7.9.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1, Điều 6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7.10.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gridCol w:w="3119"/>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23"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5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120"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23"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7.2;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5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120"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823"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5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120"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20"/>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spacing w:after="0" w:line="340" w:lineRule="exact"/>
        <w:ind w:firstLine="720"/>
        <w:jc w:val="right"/>
        <w:rPr>
          <w:rFonts w:ascii="Times New Roman" w:hAnsi="Times New Roman" w:eastAsia="Times New Roman" w:cs="Times New Roman"/>
          <w:b/>
          <w:bCs/>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B7</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ĐỀ NGHỊ</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Thay đổi địa điểm sinh hoạt tôn giáo tập trung</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nhóm sinh hoạt tôn giáo tập trung:.………………………………...</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người đại diện:..………………………………………………</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Thuộc tôn giáo (hoặc tổ chức tôn giáo; tổ chức được cấp chứng nhận đăng ký hoạt động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Đề nghị thay đổi địa điểm sinh hoạt tôn giáo tập trung với các nội dung sau: </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Lý do thay đổi:.………………………………………………………….</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điểm nhómđang sinh hoạt tôn giáo tập trung:…………..…….……</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Dự kiến địa điểm mới:……..…………………………………………….</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Dự kiến thời điểm thay đổi:.………………………………………..…...</w:t>
      </w:r>
    </w:p>
    <w:p>
      <w:pPr>
        <w:tabs>
          <w:tab w:val="left" w:pos="1530"/>
          <w:tab w:val="left" w:leader="dot" w:pos="8789"/>
        </w:tabs>
        <w:spacing w:after="0" w:line="240" w:lineRule="auto"/>
        <w:ind w:firstLine="567"/>
        <w:jc w:val="both"/>
        <w:rPr>
          <w:rFonts w:ascii="Times New Roman" w:hAnsi="Times New Roman" w:eastAsia="Times New Roman" w:cs="Times New Roman"/>
          <w:iCs/>
          <w:color w:val="000000" w:themeColor="text1"/>
          <w:sz w:val="26"/>
          <w:szCs w:val="26"/>
          <w:lang w:val="sv-SE"/>
          <w14:textFill>
            <w14:solidFill>
              <w14:schemeClr w14:val="tx1"/>
            </w14:solidFill>
          </w14:textFill>
        </w:rPr>
      </w:pP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Cs/>
          <w:color w:val="000000" w:themeColor="text1"/>
          <w:sz w:val="26"/>
          <w:szCs w:val="26"/>
          <w:lang w:val="sv-SE"/>
          <w14:textFill>
            <w14:solidFill>
              <w14:schemeClr w14:val="tx1"/>
            </w14:solidFill>
          </w14:textFill>
        </w:rPr>
        <w:t xml:space="preserve">Văn bản kèm theo gồm: </w:t>
      </w:r>
      <w:r>
        <w:rPr>
          <w:rFonts w:ascii="Times New Roman" w:hAnsi="Times New Roman" w:eastAsia="Times New Roman" w:cs="Times New Roman"/>
          <w:color w:val="000000" w:themeColor="text1"/>
          <w:sz w:val="26"/>
          <w:szCs w:val="26"/>
          <w:lang w:val="sv-SE"/>
          <w14:textFill>
            <w14:solidFill>
              <w14:schemeClr w14:val="tx1"/>
            </w14:solidFill>
          </w14:textFill>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pPr>
        <w:tabs>
          <w:tab w:val="left" w:pos="1530"/>
          <w:tab w:val="left" w:leader="dot" w:pos="8789"/>
        </w:tabs>
        <w:spacing w:after="0" w:line="240" w:lineRule="auto"/>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p>
    <w:tbl>
      <w:tblPr>
        <w:tblStyle w:val="3"/>
        <w:tblW w:w="0" w:type="auto"/>
        <w:tblInd w:w="108" w:type="dxa"/>
        <w:tblLayout w:type="fixed"/>
        <w:tblCellMar>
          <w:top w:w="0" w:type="dxa"/>
          <w:left w:w="108" w:type="dxa"/>
          <w:bottom w:w="0" w:type="dxa"/>
          <w:right w:w="108" w:type="dxa"/>
        </w:tblCellMar>
      </w:tblPr>
      <w:tblGrid>
        <w:gridCol w:w="3828"/>
        <w:gridCol w:w="5244"/>
      </w:tblGrid>
      <w:tr>
        <w:tblPrEx>
          <w:tblCellMar>
            <w:top w:w="0" w:type="dxa"/>
            <w:left w:w="108" w:type="dxa"/>
            <w:bottom w:w="0" w:type="dxa"/>
            <w:right w:w="108" w:type="dxa"/>
          </w:tblCellMar>
        </w:tblPrEx>
        <w:trPr>
          <w:trHeight w:val="1" w:hRule="atLeast"/>
        </w:trPr>
        <w:tc>
          <w:tcPr>
            <w:tcW w:w="3828"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tc>
        <w:tc>
          <w:tcPr>
            <w:tcW w:w="5244"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NGƯỜI ĐẠI DIỆN</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(Ký, ghi rõ họ tên</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tc>
      </w:tr>
    </w:tbl>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vertAlign w:val="superscript"/>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 xml:space="preserve">(1) </w:t>
      </w:r>
      <w:r>
        <w:rPr>
          <w:rFonts w:ascii="Times New Roman" w:hAnsi="Times New Roman" w:eastAsia="Times New Roman" w:cs="Times New Roman"/>
          <w:color w:val="000000" w:themeColor="text1"/>
          <w:lang w:val="sv-SE"/>
          <w14:textFill>
            <w14:solidFill>
              <w14:schemeClr w14:val="tx1"/>
            </w14:solidFill>
          </w14:textFill>
        </w:rPr>
        <w:t xml:space="preserve"> Địa danh nơi có địa điểm đang sinh hoạt tôn giáo tập trung.</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(2)</w:t>
      </w:r>
      <w:r>
        <w:rPr>
          <w:rFonts w:ascii="Times New Roman" w:hAnsi="Times New Roman" w:eastAsia="Times New Roman" w:cs="Times New Roman"/>
          <w:color w:val="000000" w:themeColor="text1"/>
          <w:lang w:val="sv-SE"/>
          <w14:textFill>
            <w14:solidFill>
              <w14:schemeClr w14:val="tx1"/>
            </w14:solidFill>
          </w14:textFill>
        </w:rPr>
        <w:t xml:space="preserve"> Ủy ban nhân dân cấp xã nơi dự kiến đặt địa điểm sinh hoạt tôn giáo tập trung mới.</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A3819"/>
    <w:rsid w:val="215A3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2023-06-21T00:51:00Z</dcterms:created>
  <dc:creator>Binh Le</dc:creator>
  <cp:lastModifiedBy>Binh Le</cp:lastModifiedBy>
  <dcterms:modified xsi:type="dcterms:W3CDTF">2023-06-21T00:53:02Z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ED4305F4C7494C6DA2470F00789F66BF</vt:lpwstr>
  </property>
</Properties>
</file>