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firstLine="709"/>
        <w:jc w:val="both"/>
        <w:rPr>
          <w:lang w:val="nl-NL"/>
        </w:rPr>
      </w:pPr>
      <w:r>
        <w:rPr>
          <w:b/>
          <w:sz w:val="28"/>
          <w:szCs w:val="28"/>
        </w:rPr>
        <w:t>V. LĨNH VỰC CHỨNG THỰC</w:t>
      </w:r>
    </w:p>
    <w:p>
      <w:pPr>
        <w:shd w:val="clear" w:color="auto" w:fill="FFFFFF"/>
        <w:spacing w:before="120" w:after="120"/>
        <w:ind w:firstLine="720"/>
        <w:jc w:val="both"/>
        <w:rPr>
          <w:b/>
          <w:bCs/>
          <w:sz w:val="28"/>
          <w:szCs w:val="28"/>
          <w:lang w:val="hr-HR"/>
        </w:rPr>
      </w:pPr>
      <w:r>
        <w:rPr>
          <w:b/>
          <w:bCs/>
          <w:sz w:val="28"/>
          <w:szCs w:val="28"/>
        </w:rPr>
        <w:t xml:space="preserve">6. </w:t>
      </w:r>
      <w:r>
        <w:rPr>
          <w:b/>
          <w:sz w:val="28"/>
          <w:szCs w:val="28"/>
        </w:rPr>
        <w:t>Thủ tục S</w:t>
      </w:r>
      <w:r>
        <w:rPr>
          <w:b/>
          <w:sz w:val="28"/>
          <w:szCs w:val="28"/>
          <w:lang w:val="vi-VN"/>
        </w:rPr>
        <w:t xml:space="preserve">ửa lỗi </w:t>
      </w:r>
      <w:r>
        <w:rPr>
          <w:b/>
          <w:sz w:val="28"/>
          <w:szCs w:val="28"/>
        </w:rPr>
        <w:t>sai sót</w:t>
      </w:r>
      <w:r>
        <w:rPr>
          <w:b/>
          <w:sz w:val="28"/>
          <w:szCs w:val="28"/>
          <w:lang w:val="vi-VN"/>
        </w:rPr>
        <w:t xml:space="preserve"> trong </w:t>
      </w:r>
      <w:r>
        <w:rPr>
          <w:b/>
          <w:sz w:val="28"/>
          <w:szCs w:val="28"/>
        </w:rPr>
        <w:t>hợp đồng, giao dịch</w:t>
      </w:r>
    </w:p>
    <w:p>
      <w:pPr>
        <w:spacing w:before="120" w:after="120"/>
        <w:ind w:firstLine="720"/>
        <w:jc w:val="both"/>
        <w:rPr>
          <w:sz w:val="28"/>
          <w:szCs w:val="28"/>
          <w:lang w:val="es-AR"/>
        </w:rPr>
      </w:pPr>
      <w:r>
        <w:rPr>
          <w:b/>
          <w:bCs/>
          <w:sz w:val="28"/>
          <w:szCs w:val="28"/>
          <w:lang w:val="hr-HR"/>
        </w:rPr>
        <w:t xml:space="preserve">6.1.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066"/>
        <w:gridCol w:w="73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26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950"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2269"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Nộp hồ sơ thủ tục hành chính: </w:t>
            </w:r>
          </w:p>
        </w:tc>
        <w:tc>
          <w:tcPr>
            <w:tcW w:w="5421"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 xml:space="preserve">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bookmarkStart w:id="0" w:name="_GoBack"/>
            <w:bookmarkEnd w:id="0"/>
          </w:p>
          <w:p>
            <w:pPr>
              <w:pStyle w:val="4"/>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Hoặc qua Cổng dịch vụ công Quốc gia (dichvucong.gov.vn), Cổng dịch vụ công Tỉnh (dichvucong.dongthap.gov.vn).</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2269" w:type="dxa"/>
            <w:vAlign w:val="center"/>
          </w:tcPr>
          <w:p>
            <w:pPr>
              <w:jc w:val="both"/>
              <w:rPr>
                <w:sz w:val="28"/>
                <w:szCs w:val="28"/>
              </w:rPr>
            </w:pPr>
            <w:r>
              <w:rPr>
                <w:b/>
                <w:sz w:val="28"/>
                <w:szCs w:val="28"/>
              </w:rPr>
              <w:t>Tiếp nhận và chuyển hồ sơ thủ tục hành chính</w:t>
            </w:r>
          </w:p>
        </w:tc>
        <w:tc>
          <w:tcPr>
            <w:tcW w:w="5421" w:type="dxa"/>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Công chức tiếp nhận hồ sơ tại Bộ phận </w:t>
            </w:r>
            <w:r>
              <w:rPr>
                <w:rFonts w:ascii="Times New Roman" w:hAnsi="Times New Roman"/>
                <w:sz w:val="28"/>
                <w:szCs w:val="28"/>
                <w:lang w:val="vi-VN"/>
              </w:rPr>
              <w:t>tiếp nhận và trả kết quả</w:t>
            </w:r>
            <w:r>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pPr>
              <w:pStyle w:val="4"/>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6"/>
                <w:rFonts w:ascii="Times New Roman" w:hAnsi="Times New Roman"/>
                <w:color w:val="auto"/>
              </w:rPr>
              <w:t>huyển ngay hồ sơ tiếp nhận trực tiếp trong ngày làm việc (k</w:t>
            </w:r>
            <w:r>
              <w:rPr>
                <w:rFonts w:ascii="Times New Roman" w:hAnsi="Times New Roman"/>
                <w:sz w:val="28"/>
                <w:szCs w:val="28"/>
              </w:rPr>
              <w:t>hông để quá 01 giờ làm việc)</w:t>
            </w:r>
            <w:r>
              <w:rPr>
                <w:rStyle w:val="6"/>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restart"/>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269" w:type="dxa"/>
            <w:vMerge w:val="restart"/>
            <w:vAlign w:val="center"/>
          </w:tcPr>
          <w:p>
            <w:pPr>
              <w:pStyle w:val="4"/>
              <w:spacing w:before="0" w:beforeAutospacing="0" w:after="0" w:afterAutospacing="0"/>
              <w:jc w:val="center"/>
              <w:rPr>
                <w:rFonts w:ascii="Times New Roman" w:hAnsi="Times New Roman"/>
                <w:b/>
                <w:sz w:val="28"/>
                <w:szCs w:val="28"/>
              </w:rPr>
            </w:pPr>
            <w:r>
              <w:rPr>
                <w:rStyle w:val="7"/>
                <w:rFonts w:ascii="Times New Roman" w:hAnsi="Times New Roman" w:eastAsiaTheme="majorEastAsia"/>
                <w:color w:val="auto"/>
              </w:rPr>
              <w:t>Giải quyết thủ tục hành chính</w:t>
            </w:r>
          </w:p>
        </w:tc>
        <w:tc>
          <w:tcPr>
            <w:tcW w:w="5421" w:type="dxa"/>
          </w:tcPr>
          <w:p>
            <w:pPr>
              <w:jc w:val="both"/>
              <w:rPr>
                <w:sz w:val="28"/>
                <w:szCs w:val="28"/>
              </w:rPr>
            </w:pPr>
            <w:r>
              <w:rPr>
                <w:rStyle w:val="6"/>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6"/>
                <w:rFonts w:ascii="Times New Roman" w:hAnsi="Times New Roman"/>
                <w:color w:val="auto"/>
              </w:rPr>
              <w:t>công chức tư pháp - hộ tịch xem xét, thẩm định hồ sơ, trình phê duyệt kết quả giải quyết thủ tục hành chính:</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Pr>
                <w:rFonts w:ascii="Times New Roman" w:hAnsi="Times New Roman"/>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Pr>
          <w:p>
            <w:pPr>
              <w:pStyle w:val="4"/>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Borders>
              <w:bottom w:val="single" w:color="auto" w:sz="4" w:space="0"/>
            </w:tcBorders>
          </w:tcPr>
          <w:p>
            <w:pPr>
              <w:pStyle w:val="4"/>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950" w:type="dxa"/>
            <w:tcBorders>
              <w:bottom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07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bottom w:val="nil"/>
            </w:tcBorders>
          </w:tcPr>
          <w:p>
            <w:pPr>
              <w:pStyle w:val="4"/>
              <w:spacing w:before="0" w:beforeAutospacing="0" w:after="0" w:afterAutospacing="0"/>
              <w:jc w:val="both"/>
              <w:rPr>
                <w:rFonts w:ascii="Times New Roman" w:hAnsi="Times New Roman"/>
                <w:b/>
                <w:sz w:val="28"/>
                <w:szCs w:val="28"/>
              </w:rPr>
            </w:pPr>
          </w:p>
        </w:tc>
        <w:tc>
          <w:tcPr>
            <w:tcW w:w="2269" w:type="dxa"/>
            <w:vMerge w:val="continue"/>
            <w:tcBorders>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5421" w:type="dxa"/>
            <w:tcBorders>
              <w:top w:val="single" w:color="auto" w:sz="4" w:space="0"/>
              <w:left w:val="single" w:color="auto" w:sz="4" w:space="0"/>
              <w:bottom w:val="nil"/>
              <w:right w:val="single" w:color="auto" w:sz="4" w:space="0"/>
            </w:tcBorders>
            <w:vAlign w:val="center"/>
          </w:tcPr>
          <w:p>
            <w:pPr>
              <w:jc w:val="both"/>
              <w:rPr>
                <w:i/>
                <w:sz w:val="28"/>
                <w:szCs w:val="28"/>
              </w:rPr>
            </w:pPr>
            <w:r>
              <w:rPr>
                <w:i/>
                <w:sz w:val="28"/>
                <w:szCs w:val="28"/>
              </w:rPr>
              <w:t>+ Công chức tư pháp – hộ tịch.</w:t>
            </w:r>
          </w:p>
        </w:tc>
        <w:tc>
          <w:tcPr>
            <w:tcW w:w="1950" w:type="dxa"/>
            <w:tcBorders>
              <w:top w:val="single" w:color="auto" w:sz="4" w:space="0"/>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nil"/>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bottom w:val="nil"/>
              <w:right w:val="single" w:color="auto" w:sz="4" w:space="0"/>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nil"/>
              <w:right w:val="single" w:color="auto" w:sz="4" w:space="0"/>
            </w:tcBorders>
            <w:vAlign w:val="center"/>
          </w:tcPr>
          <w:p>
            <w:pPr>
              <w:jc w:val="both"/>
              <w:rPr>
                <w:i/>
                <w:sz w:val="28"/>
                <w:szCs w:val="28"/>
              </w:rPr>
            </w:pPr>
            <w:r>
              <w:rPr>
                <w:i/>
                <w:sz w:val="28"/>
                <w:szCs w:val="28"/>
              </w:rPr>
              <w:t>+ Lãnh đạo</w:t>
            </w:r>
            <w:r>
              <w:rPr>
                <w:i/>
                <w:sz w:val="28"/>
                <w:szCs w:val="20"/>
              </w:rPr>
              <w:t xml:space="preserve"> Ủy ban nhân dân cấp xã </w:t>
            </w:r>
          </w:p>
        </w:tc>
        <w:tc>
          <w:tcPr>
            <w:tcW w:w="1950" w:type="dxa"/>
            <w:tcBorders>
              <w:top w:val="nil"/>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nil"/>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bottom w:val="nil"/>
              <w:right w:val="single" w:color="auto" w:sz="4" w:space="0"/>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single" w:color="auto" w:sz="4" w:space="0"/>
              <w:right w:val="single" w:color="auto" w:sz="4" w:space="0"/>
            </w:tcBorders>
            <w:vAlign w:val="center"/>
          </w:tcPr>
          <w:p>
            <w:pPr>
              <w:jc w:val="both"/>
              <w:rPr>
                <w:i/>
                <w:sz w:val="28"/>
                <w:szCs w:val="28"/>
              </w:rPr>
            </w:pPr>
            <w:r>
              <w:rPr>
                <w:i/>
                <w:sz w:val="28"/>
                <w:szCs w:val="28"/>
              </w:rPr>
              <w:t>+ Văn thư</w:t>
            </w:r>
          </w:p>
        </w:tc>
        <w:tc>
          <w:tcPr>
            <w:tcW w:w="1950" w:type="dxa"/>
            <w:tcBorders>
              <w:top w:val="nil"/>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269" w:type="dxa"/>
            <w:vAlign w:val="center"/>
          </w:tcPr>
          <w:p>
            <w:pPr>
              <w:pStyle w:val="4"/>
              <w:spacing w:before="0" w:beforeAutospacing="0" w:after="0" w:afterAutospacing="0"/>
              <w:jc w:val="center"/>
              <w:rPr>
                <w:rStyle w:val="6"/>
                <w:rFonts w:ascii="Times New Roman" w:hAnsi="Times New Roman"/>
                <w:color w:val="auto"/>
              </w:rPr>
            </w:pPr>
            <w:r>
              <w:rPr>
                <w:rFonts w:ascii="Times New Roman" w:hAnsi="Times New Roman"/>
                <w:b/>
                <w:sz w:val="28"/>
                <w:szCs w:val="28"/>
                <w:lang w:val="nl-NL"/>
              </w:rPr>
              <w:t>Trả kết quả giải quyết thủ tục hành chính</w:t>
            </w:r>
          </w:p>
          <w:p>
            <w:pPr>
              <w:pStyle w:val="4"/>
              <w:spacing w:before="0" w:beforeAutospacing="0" w:after="0" w:afterAutospacing="0"/>
              <w:jc w:val="center"/>
              <w:rPr>
                <w:rFonts w:ascii="Times New Roman" w:hAnsi="Times New Roman"/>
                <w:b/>
                <w:sz w:val="28"/>
                <w:szCs w:val="28"/>
              </w:rPr>
            </w:pPr>
          </w:p>
        </w:tc>
        <w:tc>
          <w:tcPr>
            <w:tcW w:w="5421"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6"/>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6"/>
                <w:rFonts w:ascii="Times New Roman" w:hAnsi="Times New Roman"/>
                <w:iCs/>
                <w:color w:val="auto"/>
                <w:lang w:val="nl-NL"/>
              </w:rPr>
            </w:pPr>
            <w:r>
              <w:rPr>
                <w:iCs/>
                <w:sz w:val="28"/>
                <w:szCs w:val="28"/>
                <w:lang w:val="nl-NL"/>
              </w:rPr>
              <w:t xml:space="preserve">- </w:t>
            </w:r>
            <w:r>
              <w:rPr>
                <w:rStyle w:val="6"/>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6.2. Thành phần, số lượng hồ sơ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lang w:val="nl-NL"/>
        </w:rPr>
      </w:pPr>
      <w:r>
        <w:rPr>
          <w:sz w:val="28"/>
          <w:szCs w:val="28"/>
        </w:rPr>
        <w:t xml:space="preserve">- </w:t>
      </w:r>
      <w:r>
        <w:rPr>
          <w:sz w:val="28"/>
          <w:szCs w:val="28"/>
          <w:lang w:val="nl-NL"/>
        </w:rPr>
        <w:t xml:space="preserve">Bản sao giấy tờ tùy thân còn giá trị sử dụng của người yêu cầu chứng thực (xuất trình bản chính để đối chiếu); </w:t>
      </w:r>
    </w:p>
    <w:p>
      <w:pPr>
        <w:spacing w:before="120" w:after="120"/>
        <w:ind w:firstLine="720"/>
        <w:jc w:val="both"/>
        <w:rPr>
          <w:sz w:val="28"/>
          <w:szCs w:val="28"/>
          <w:lang w:val="nl-NL"/>
        </w:rPr>
      </w:pPr>
      <w:r>
        <w:rPr>
          <w:sz w:val="28"/>
          <w:szCs w:val="28"/>
          <w:lang w:val="nl-NL"/>
        </w:rPr>
        <w:t>- Văn bản thỏa thuận về việc sửa lỗi sai sót trong hợp đồng, giao dịch đã được chứng thực</w:t>
      </w:r>
    </w:p>
    <w:p>
      <w:pPr>
        <w:spacing w:before="120" w:after="120"/>
        <w:ind w:firstLine="720"/>
        <w:jc w:val="both"/>
        <w:rPr>
          <w:sz w:val="28"/>
          <w:szCs w:val="28"/>
          <w:lang w:val="nl-NL"/>
        </w:rPr>
      </w:pPr>
      <w:r>
        <w:rPr>
          <w:sz w:val="28"/>
          <w:szCs w:val="28"/>
          <w:lang w:val="nl-NL"/>
        </w:rPr>
        <w:t>- Hợp đồng, giao dịch đã được chứng thực;</w:t>
      </w:r>
    </w:p>
    <w:p>
      <w:pPr>
        <w:spacing w:before="120" w:after="120"/>
        <w:ind w:firstLine="720"/>
        <w:jc w:val="both"/>
        <w:rPr>
          <w:sz w:val="28"/>
          <w:szCs w:val="28"/>
        </w:rPr>
      </w:pPr>
      <w:r>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r>
        <w:rPr>
          <w:sz w:val="28"/>
          <w:szCs w:val="28"/>
        </w:rPr>
        <w:t xml:space="preserve">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6.3. Đối tượng thực hiện thủ tục hành chính: </w:t>
      </w:r>
      <w:r>
        <w:rPr>
          <w:rFonts w:ascii="Times New Roman" w:hAnsi="Times New Roman"/>
          <w:sz w:val="28"/>
          <w:szCs w:val="28"/>
        </w:rPr>
        <w:t>Cá nhân, tổ chức</w:t>
      </w:r>
    </w:p>
    <w:p>
      <w:pPr>
        <w:spacing w:before="120" w:after="120"/>
        <w:ind w:firstLine="720"/>
        <w:jc w:val="both"/>
        <w:rPr>
          <w:sz w:val="28"/>
          <w:szCs w:val="28"/>
        </w:rPr>
      </w:pPr>
      <w:r>
        <w:rPr>
          <w:b/>
          <w:bCs/>
          <w:sz w:val="28"/>
          <w:szCs w:val="28"/>
        </w:rPr>
        <w:t xml:space="preserve">6.4. Cơ quan giải quyết thủ tục hành chính: </w:t>
      </w:r>
      <w:r>
        <w:rPr>
          <w:sz w:val="28"/>
          <w:szCs w:val="28"/>
        </w:rPr>
        <w:t>Ủy ban nhân dân cấp xã.</w:t>
      </w:r>
    </w:p>
    <w:p>
      <w:pPr>
        <w:spacing w:before="120" w:after="120"/>
        <w:ind w:firstLine="720"/>
        <w:jc w:val="both"/>
        <w:rPr>
          <w:sz w:val="28"/>
          <w:szCs w:val="28"/>
        </w:rPr>
      </w:pPr>
      <w:r>
        <w:rPr>
          <w:b/>
          <w:bCs/>
          <w:sz w:val="28"/>
          <w:szCs w:val="28"/>
        </w:rPr>
        <w:t xml:space="preserve">6.5. Kết quả thực hiện thủ tục hành chính: </w:t>
      </w:r>
      <w:r>
        <w:rPr>
          <w:spacing w:val="-4"/>
          <w:sz w:val="28"/>
          <w:szCs w:val="28"/>
        </w:rPr>
        <w:t xml:space="preserve">Hợp đồng, giao dịch </w:t>
      </w:r>
      <w:r>
        <w:rPr>
          <w:sz w:val="28"/>
          <w:szCs w:val="28"/>
        </w:rPr>
        <w:t>được sửa lỗi kỹ thuật</w:t>
      </w:r>
      <w:r>
        <w:rPr>
          <w:spacing w:val="-4"/>
          <w:sz w:val="28"/>
          <w:szCs w:val="28"/>
        </w:rPr>
        <w:t>.</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6.6. Phí, lệ phí:</w:t>
      </w:r>
      <w:r>
        <w:rPr>
          <w:rFonts w:ascii="Times New Roman" w:hAnsi="Times New Roman"/>
          <w:sz w:val="28"/>
          <w:szCs w:val="28"/>
        </w:rPr>
        <w:t> 25.000 đồng/hợp đồng, giao dịch.</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6.7. Tên mẫu đơn, mẫu tờ khai: </w:t>
      </w:r>
      <w:r>
        <w:rPr>
          <w:rFonts w:ascii="Times New Roman" w:hAnsi="Times New Roman"/>
          <w:sz w:val="28"/>
          <w:szCs w:val="28"/>
        </w:rPr>
        <w:t>Không.</w:t>
      </w:r>
    </w:p>
    <w:p>
      <w:pPr>
        <w:spacing w:before="120" w:after="120"/>
        <w:ind w:firstLine="720"/>
        <w:jc w:val="both"/>
        <w:rPr>
          <w:sz w:val="28"/>
        </w:rPr>
      </w:pPr>
      <w:r>
        <w:rPr>
          <w:b/>
          <w:bCs/>
          <w:sz w:val="28"/>
          <w:szCs w:val="28"/>
          <w:lang w:val="hr-HR"/>
        </w:rPr>
        <w:t xml:space="preserve">6.8. Yêu cầu, điều kiện thực hiện thủ tục hành chính: </w:t>
      </w:r>
      <w:r>
        <w:rPr>
          <w:bCs/>
          <w:sz w:val="28"/>
          <w:szCs w:val="28"/>
          <w:lang w:val="hr-HR"/>
        </w:rPr>
        <w:t>Không</w:t>
      </w:r>
    </w:p>
    <w:p>
      <w:pPr>
        <w:spacing w:before="120" w:after="120"/>
        <w:ind w:firstLine="720"/>
        <w:jc w:val="both"/>
        <w:rPr>
          <w:b/>
          <w:bCs/>
          <w:sz w:val="28"/>
          <w:szCs w:val="28"/>
        </w:rPr>
      </w:pPr>
      <w:r>
        <w:rPr>
          <w:b/>
          <w:bCs/>
          <w:sz w:val="28"/>
          <w:szCs w:val="28"/>
        </w:rPr>
        <w:t xml:space="preserve">6.9. Căn cứ pháp lý của thủ tục hành chính </w:t>
      </w:r>
    </w:p>
    <w:p>
      <w:pPr>
        <w:spacing w:before="120" w:after="120"/>
        <w:ind w:firstLine="720"/>
        <w:jc w:val="both"/>
        <w:rPr>
          <w:sz w:val="28"/>
          <w:szCs w:val="28"/>
        </w:rPr>
      </w:pPr>
      <w:r>
        <w:rPr>
          <w:sz w:val="28"/>
          <w:szCs w:val="28"/>
        </w:rPr>
        <w:t>- Điều 5, 7, 39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6.10.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6.2;</w:t>
            </w:r>
          </w:p>
          <w:p>
            <w:pPr>
              <w:pStyle w:val="8"/>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4"/>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w:t>
            </w:r>
            <w:r>
              <w:rPr>
                <w:rFonts w:ascii="Times New Roman" w:hAnsi="Times New Roman"/>
                <w:b/>
                <w:sz w:val="28"/>
                <w:szCs w:val="28"/>
              </w:rPr>
              <w:t xml:space="preserve"> </w:t>
            </w:r>
            <w:r>
              <w:rPr>
                <w:rStyle w:val="7"/>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7"/>
                <w:rFonts w:ascii="Times New Roman" w:hAnsi="Times New Roman" w:eastAsiaTheme="majorEastAsia"/>
                <w:b w:val="0"/>
                <w:color w:val="auto"/>
              </w:rPr>
              <w:t>trong giải quyết thủ tục hành chính</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spacing w:before="120" w:after="120" w:line="212" w:lineRule="atLeast"/>
        <w:ind w:firstLine="720"/>
        <w:jc w:val="both"/>
        <w:rPr>
          <w:b/>
          <w:bCs/>
          <w:sz w:val="28"/>
          <w:szCs w:val="28"/>
        </w:rPr>
      </w:pPr>
    </w:p>
    <w:p>
      <w:pPr>
        <w:pStyle w:val="4"/>
        <w:shd w:val="clear" w:color="auto" w:fill="FFFFFF"/>
        <w:spacing w:before="120" w:beforeAutospacing="0" w:after="0" w:afterAutospacing="0"/>
        <w:ind w:firstLine="709"/>
        <w:jc w:val="both"/>
        <w:rPr>
          <w:rFonts w:ascii="Times New Roman" w:hAnsi="Times New Roman"/>
          <w:bCs/>
          <w:color w:val="0070C0"/>
          <w:sz w:val="28"/>
          <w:szCs w:val="28"/>
        </w:rPr>
      </w:pPr>
      <w:r>
        <w:rPr>
          <w:rFonts w:ascii="Times New Roman" w:hAnsi="Times New Roman"/>
          <w:b/>
          <w:bCs/>
          <w:color w:val="0070C0"/>
          <w:sz w:val="28"/>
          <w:szCs w:val="28"/>
        </w:rPr>
        <w:t xml:space="preserve">Ghi chú: </w:t>
      </w:r>
      <w:r>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 (Bổ sung cụm từ “Thủ tục”).</w:t>
      </w:r>
    </w:p>
    <w:p/>
    <w:sectPr>
      <w:pgSz w:w="16838" w:h="11906" w:orient="landscape"/>
      <w:pgMar w:top="1349" w:right="1440" w:bottom="1349"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11B2A"/>
    <w:rsid w:val="06511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uiPriority w:val="99"/>
    <w:pPr>
      <w:widowControl/>
      <w:spacing w:before="100" w:beforeAutospacing="1" w:after="100" w:afterAutospacing="1"/>
    </w:pPr>
    <w:rPr>
      <w:rFonts w:ascii="Verdana" w:hAnsi="Verdana"/>
      <w:sz w:val="24"/>
      <w:szCs w:val="24"/>
    </w:rPr>
  </w:style>
  <w:style w:type="table" w:styleId="5">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21"/>
    <w:uiPriority w:val="0"/>
    <w:rPr>
      <w:rFonts w:hint="default" w:ascii="TimesNewRomanPSMT" w:hAnsi="TimesNewRomanPSMT"/>
      <w:color w:val="000000"/>
      <w:sz w:val="28"/>
      <w:szCs w:val="28"/>
    </w:rPr>
  </w:style>
  <w:style w:type="character" w:customStyle="1" w:styleId="7">
    <w:name w:val="fontstyle01"/>
    <w:uiPriority w:val="0"/>
    <w:rPr>
      <w:rFonts w:hint="default" w:ascii="TimesNewRomanPS-BoldMT" w:hAnsi="TimesNewRomanPS-BoldMT"/>
      <w:b/>
      <w:bCs/>
      <w:color w:val="000000"/>
      <w:sz w:val="28"/>
      <w:szCs w:val="28"/>
    </w:rPr>
  </w:style>
  <w:style w:type="paragraph" w:styleId="8">
    <w:name w:val="List Paragraph"/>
    <w:basedOn w:val="1"/>
    <w:qFormat/>
    <w:uiPriority w:val="1"/>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2023-03-21T10:28:00Z</dcterms:created>
  <dc:creator>Admin</dc:creator>
  <cp:lastModifiedBy>Admin</cp:lastModifiedBy>
  <dcterms:modified xsi:type="dcterms:W3CDTF">2023-03-21T10:29:58Z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E7AD2450BE8143E2B3818A8118432CC3</vt:lpwstr>
  </property>
</Properties>
</file>