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after="120"/>
        <w:ind w:firstLine="720"/>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6</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cs="Times New Roman"/>
          <w:b/>
          <w:color w:val="000000" w:themeColor="text1"/>
          <w:sz w:val="26"/>
          <w:szCs w:val="26"/>
          <w:lang w:eastAsia="vi-VN"/>
          <w14:textFill>
            <w14:solidFill>
              <w14:schemeClr w14:val="tx1"/>
            </w14:solidFill>
          </w14:textFill>
        </w:rPr>
        <w:t>Đ</w:t>
      </w:r>
      <w:r>
        <w:rPr>
          <w:rFonts w:ascii="Times New Roman" w:hAnsi="Times New Roman" w:eastAsia="Times New Roman" w:cs="Times New Roman"/>
          <w:b/>
          <w:color w:val="000000" w:themeColor="text1"/>
          <w:sz w:val="26"/>
          <w:szCs w:val="26"/>
          <w:lang w:val="pt-BR"/>
          <w14:textFill>
            <w14:solidFill>
              <w14:schemeClr w14:val="tx1"/>
            </w14:solidFill>
          </w14:textFill>
        </w:rPr>
        <w:t>ăng ký thay đổi người đại diện của nhóm sinh hoạt tôn giáo tập trung - 1.001090</w:t>
      </w:r>
    </w:p>
    <w:p>
      <w:pPr>
        <w:widowControl w:val="0"/>
        <w:tabs>
          <w:tab w:val="left" w:pos="709"/>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6.1.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546"/>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54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546"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6"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546"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546"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15 ngày làm việc, </w:t>
            </w:r>
          </w:p>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851"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14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xã giao cho công chức tham mưu, đề xuất;</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2,5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Chuyên viên;</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11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Công chức 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6.2.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0"/>
        <w:ind w:firstLine="720"/>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Văn bản đăng ký</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ind w:firstLine="720"/>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6.3.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Nhóm sinh hoạt tôn giáo tập trung thay đổi người đại diện của nhóm.</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6.4.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ind w:firstLine="720"/>
        <w:jc w:val="both"/>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6.5.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trả lời chấp thuận hoặc không chấp thuận về việc đăng ký thay đổi người đại diện của nhóm sinh hoạt tôn giáo tập trung.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6.6.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6.7.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Đăng ký thay đổi người đại diện của nhóm sinh hoạt tôn giáo tập trung</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(mẫu B</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6, </w:t>
      </w:r>
      <w:r>
        <w:rPr>
          <w:rFonts w:ascii="Times New Roman" w:hAnsi="Times New Roman" w:eastAsia="Times New Roman" w:cs="Times New Roman"/>
          <w:color w:val="000000" w:themeColor="text1"/>
          <w:sz w:val="26"/>
          <w:szCs w:val="26"/>
          <w:lang w:val="vi-VN"/>
          <w14:textFill>
            <w14:solidFill>
              <w14:schemeClr w14:val="tx1"/>
            </w14:solidFill>
          </w14:textFill>
        </w:rPr>
        <w:t>Phụ lục Nghị định số 162/2017/NĐ-CP ngày 30/12/2017).</w:t>
      </w:r>
    </w:p>
    <w:p>
      <w:pPr>
        <w:spacing w:before="120" w:after="120"/>
        <w:ind w:firstLine="709"/>
        <w:jc w:val="both"/>
        <w:rPr>
          <w:rFonts w:ascii="Times New Roman" w:hAnsi="Times New Roman" w:cs="Times New Roman"/>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6.8.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cs="Times New Roman"/>
          <w:bCs/>
          <w:color w:val="000000" w:themeColor="text1"/>
          <w:sz w:val="26"/>
          <w:szCs w:val="26"/>
          <w:lang w:val="hr-HR"/>
          <w14:textFill>
            <w14:solidFill>
              <w14:schemeClr w14:val="tx1"/>
            </w14:solidFill>
          </w14:textFill>
        </w:rPr>
        <w:t>Không.</w:t>
      </w:r>
    </w:p>
    <w:p>
      <w:pPr>
        <w:spacing w:after="120"/>
        <w:ind w:firstLine="709"/>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6.9.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Điều 5,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6.10.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6.2;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line="340" w:lineRule="exact"/>
        <w:ind w:left="360" w:firstLine="432"/>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autoSpaceDE w:val="0"/>
        <w:autoSpaceDN w:val="0"/>
        <w:adjustRightInd w:val="0"/>
        <w:spacing w:after="120" w:line="240" w:lineRule="auto"/>
        <w:jc w:val="right"/>
        <w:rPr>
          <w:rFonts w:ascii="Times New Roman" w:hAnsi="Times New Roman" w:eastAsia="Times New Roman" w:cs="Times New Roman"/>
          <w:b/>
          <w:i/>
          <w:iCs/>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B6</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i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Thay đổi người đại diện của nhóm sinh hoạt tôn giáo tập trung</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ind w:firstLine="720"/>
        <w:jc w:val="center"/>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nhóm sinh hoạt tôn giáo tập trung: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điểm sinh hoạt tôn giáo tập trungcủa nhóm:……………………..</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Họ và tên người đại diện </w:t>
      </w:r>
      <w:r>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t>(3)</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Thuộc tôn giáo (hoặc tổ chức tôn giáo; tổ chức được cấp chứng nhận đăng ký hoạt động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Đăng ký thay đổi người đại diện của nhóm sinh hoạt tôn giáo tập trung với các nội dung sau: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cũ của nhóm: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gọi trong tôn giáo (nếu có):</w:t>
      </w:r>
      <w:r>
        <w:rPr>
          <w:rFonts w:ascii="Times New Roman" w:hAnsi="Times New Roman" w:eastAsia="Times New Roman" w:cs="Times New Roman"/>
          <w:iCs/>
          <w:color w:val="000000" w:themeColor="text1"/>
          <w:sz w:val="26"/>
          <w:szCs w:val="26"/>
          <w:lang w:val="sv-SE"/>
          <w14:textFill>
            <w14:solidFill>
              <w14:schemeClr w14:val="tx1"/>
            </w14:solidFill>
          </w14:textFill>
        </w:rPr>
        <w:t>………………………………….</w:t>
      </w:r>
      <w:r>
        <w:rPr>
          <w:rFonts w:ascii="Times New Roman" w:hAnsi="Times New Roman" w:eastAsia="Times New Roman" w:cs="Times New Roman"/>
          <w:iCs/>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Nơi cư trú:.………………………………………………………..</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mới của nhóm: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gọi trong tôn giáo (nếu có):</w:t>
      </w:r>
      <w:r>
        <w:rPr>
          <w:rFonts w:ascii="Times New Roman" w:hAnsi="Times New Roman" w:eastAsia="Times New Roman" w:cs="Times New Roman"/>
          <w:iCs/>
          <w:color w:val="000000" w:themeColor="text1"/>
          <w:sz w:val="26"/>
          <w:szCs w:val="26"/>
          <w:lang w:val="sv-SE"/>
          <w14:textFill>
            <w14:solidFill>
              <w14:schemeClr w14:val="tx1"/>
            </w14:solidFill>
          </w14:textFill>
        </w:rPr>
        <w:t>………………………………….</w:t>
      </w:r>
      <w:r>
        <w:rPr>
          <w:rFonts w:ascii="Times New Roman" w:hAnsi="Times New Roman" w:eastAsia="Times New Roman" w:cs="Times New Roman"/>
          <w:iCs/>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Nơi cư trú:.………………………………………………………..</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Lý do thay đổi: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Dự kiến thời điểm thay đổi: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pacing w:val="-4"/>
          <w:sz w:val="26"/>
          <w:szCs w:val="26"/>
          <w:lang w:val="sv-SE"/>
          <w14:textFill>
            <w14:solidFill>
              <w14:schemeClr w14:val="tx1"/>
            </w14:solidFill>
          </w14:textFill>
        </w:rPr>
      </w:pPr>
      <w:r>
        <w:rPr>
          <w:rFonts w:ascii="Times New Roman" w:hAnsi="Times New Roman" w:eastAsia="Times New Roman" w:cs="Times New Roman"/>
          <w:iCs/>
          <w:color w:val="000000" w:themeColor="text1"/>
          <w:spacing w:val="-4"/>
          <w:sz w:val="26"/>
          <w:szCs w:val="26"/>
          <w:lang w:val="sv-SE"/>
          <w14:textFill>
            <w14:solidFill>
              <w14:schemeClr w14:val="tx1"/>
            </w14:solidFill>
          </w14:textFill>
        </w:rPr>
        <w:t xml:space="preserve">Văn bản kèm theo gồm: </w:t>
      </w:r>
      <w:r>
        <w:rPr>
          <w:rFonts w:ascii="Times New Roman" w:hAnsi="Times New Roman" w:eastAsia="Times New Roman" w:cs="Times New Roman"/>
          <w:color w:val="000000" w:themeColor="text1"/>
          <w:spacing w:val="-4"/>
          <w:sz w:val="26"/>
          <w:szCs w:val="26"/>
          <w:lang w:val="sv-SE"/>
          <w14:textFill>
            <w14:solidFill>
              <w14:schemeClr w14:val="tx1"/>
            </w14:solidFill>
          </w14:textFill>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Style w:val="3"/>
        <w:tblW w:w="9075" w:type="dxa"/>
        <w:tblInd w:w="108" w:type="dxa"/>
        <w:tblLayout w:type="fixed"/>
        <w:tblCellMar>
          <w:top w:w="0" w:type="dxa"/>
          <w:left w:w="108" w:type="dxa"/>
          <w:bottom w:w="0" w:type="dxa"/>
          <w:right w:w="108" w:type="dxa"/>
        </w:tblCellMar>
      </w:tblPr>
      <w:tblGrid>
        <w:gridCol w:w="3096"/>
        <w:gridCol w:w="5979"/>
      </w:tblGrid>
      <w:tr>
        <w:tblPrEx>
          <w:tblCellMar>
            <w:top w:w="0" w:type="dxa"/>
            <w:left w:w="108" w:type="dxa"/>
            <w:bottom w:w="0" w:type="dxa"/>
            <w:right w:w="108" w:type="dxa"/>
          </w:tblCellMar>
        </w:tblPrEx>
        <w:trPr>
          <w:trHeight w:val="1" w:hRule="atLeast"/>
        </w:trPr>
        <w:tc>
          <w:tcPr>
            <w:tcW w:w="3095"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tc>
        <w:tc>
          <w:tcPr>
            <w:tcW w:w="5977"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NGƯỜI ĐẠI DIỆN </w:t>
            </w: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(3)</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(Ký, ghi rõ họ tên</w:t>
            </w:r>
            <w:r>
              <w:rPr>
                <w:rFonts w:ascii="Times New Roman" w:hAnsi="Times New Roman" w:eastAsia="Times New Roman" w:cs="Times New Roman"/>
                <w:color w:val="000000" w:themeColor="text1"/>
                <w:sz w:val="26"/>
                <w:szCs w:val="26"/>
                <w:lang w:val="sv-SE"/>
                <w14:textFill>
                  <w14:solidFill>
                    <w14:schemeClr w14:val="tx1"/>
                  </w14:solidFill>
                </w14:textFill>
              </w:rPr>
              <w:t>)</w:t>
            </w:r>
          </w:p>
        </w:tc>
      </w:tr>
    </w:tbl>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 xml:space="preserve">(1) </w:t>
      </w:r>
      <w:r>
        <w:rPr>
          <w:rFonts w:ascii="Times New Roman" w:hAnsi="Times New Roman" w:eastAsia="Times New Roman" w:cs="Times New Roman"/>
          <w:color w:val="000000" w:themeColor="text1"/>
          <w:lang w:val="sv-SE"/>
          <w14:textFill>
            <w14:solidFill>
              <w14:schemeClr w14:val="tx1"/>
            </w14:solidFill>
          </w14:textFill>
        </w:rPr>
        <w:t xml:space="preserve"> Địa danh nơi có địa điểm sinh hoạt tôn giáo tập trung. </w:t>
      </w: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(2)</w:t>
      </w:r>
      <w:r>
        <w:rPr>
          <w:rFonts w:ascii="Times New Roman" w:hAnsi="Times New Roman" w:eastAsia="Times New Roman" w:cs="Times New Roman"/>
          <w:color w:val="000000" w:themeColor="text1"/>
          <w:lang w:val="sv-SE"/>
          <w14:textFill>
            <w14:solidFill>
              <w14:schemeClr w14:val="tx1"/>
            </w14:solidFill>
          </w14:textFill>
        </w:rPr>
        <w:t xml:space="preserve">  Ủy ban nhân dân cấp xã nơi có địa điểm sinh hoạt tôn giáo tập trung.</w:t>
      </w:r>
    </w:p>
    <w:p>
      <w:pPr>
        <w:tabs>
          <w:tab w:val="left" w:leader="dot" w:pos="8789"/>
        </w:tabs>
        <w:autoSpaceDE w:val="0"/>
        <w:autoSpaceDN w:val="0"/>
        <w:adjustRightInd w:val="0"/>
        <w:spacing w:after="0" w:line="240" w:lineRule="auto"/>
        <w:ind w:firstLine="720"/>
        <w:jc w:val="both"/>
      </w:pPr>
      <w:r>
        <w:rPr>
          <w:rFonts w:ascii="Times New Roman" w:hAnsi="Times New Roman" w:eastAsia="Times New Roman" w:cs="Times New Roman"/>
          <w:color w:val="000000" w:themeColor="text1"/>
          <w:vertAlign w:val="superscript"/>
          <w:lang w:val="sv-SE"/>
          <w14:textFill>
            <w14:solidFill>
              <w14:schemeClr w14:val="tx1"/>
            </w14:solidFill>
          </w14:textFill>
        </w:rPr>
        <w:t>(3)</w:t>
      </w:r>
      <w:r>
        <w:rPr>
          <w:rFonts w:ascii="Times New Roman" w:hAnsi="Times New Roman" w:eastAsia="Times New Roman" w:cs="Times New Roman"/>
          <w:color w:val="000000" w:themeColor="text1"/>
          <w:lang w:val="sv-SE"/>
          <w14:textFill>
            <w14:solidFill>
              <w14:schemeClr w14:val="tx1"/>
            </w14:solidFill>
          </w14:textFill>
        </w:rPr>
        <w:t xml:space="preserve"> Người đại diện mới của nhóm sinh hoạt tôn giáo tập trung</w:t>
      </w:r>
      <w:r>
        <w:rPr>
          <w:rFonts w:ascii="Times New Roman" w:hAnsi="Times New Roman" w:eastAsia="Times New Roman" w:cs="Times New Roman"/>
          <w:color w:val="000000" w:themeColor="text1"/>
          <w:sz w:val="26"/>
          <w:szCs w:val="26"/>
          <w:lang w:val="sv-SE"/>
          <w14:textFill>
            <w14:solidFill>
              <w14:schemeClr w14:val="tx1"/>
            </w14:solidFill>
          </w14:textFill>
        </w:rPr>
        <w:t>.</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E7789"/>
    <w:rsid w:val="0D4E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2024-04-02T08:12:00Z</dcterms:created>
  <dc:creator>Binh Le</dc:creator>
  <cp:lastModifiedBy>Binh Le</cp:lastModifiedBy>
  <dcterms:modified xsi:type="dcterms:W3CDTF">2024-04-02T08:13:50Z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95E58A1AEC2C4F81BB1296C2882CF046_11</vt:lpwstr>
  </property>
</Properties>
</file>