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before="120" w:after="120"/>
        <w:ind w:firstLine="720"/>
        <w:jc w:val="both"/>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10</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T</w:t>
      </w:r>
      <w:r>
        <w:rPr>
          <w:rFonts w:ascii="Times New Roman" w:hAnsi="Times New Roman" w:eastAsia="Times New Roman" w:cs="Times New Roman"/>
          <w:b/>
          <w:color w:val="000000" w:themeColor="text1"/>
          <w:sz w:val="26"/>
          <w:szCs w:val="26"/>
          <w:lang w:val="sv-SE"/>
          <w14:textFill>
            <w14:solidFill>
              <w14:schemeClr w14:val="tx1"/>
            </w14:solidFill>
          </w14:textFill>
        </w:rPr>
        <w:t>hông báo tổ chức quyên góp trong địa bàn một xã của cơ sở tín ngưỡng, tổ chức tôn giáo, tổ chức tôn giáo trực thuộc - 1.001167</w:t>
      </w:r>
    </w:p>
    <w:p>
      <w:pPr>
        <w:widowControl w:val="0"/>
        <w:tabs>
          <w:tab w:val="left" w:pos="704"/>
        </w:tabs>
        <w:spacing w:before="120"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10.1.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376"/>
        <w:gridCol w:w="7796"/>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trPr>
        <w:tc>
          <w:tcPr>
            <w:tcW w:w="102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79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027"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79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7"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79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Bước 3</w:t>
            </w:r>
          </w:p>
        </w:tc>
        <w:tc>
          <w:tcPr>
            <w:tcW w:w="23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79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79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10.2.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Văn bản thông báo (theo mẫu) và các tài liệu kèm theo (nếu có).</w:t>
      </w:r>
    </w:p>
    <w:p>
      <w:pPr>
        <w:spacing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10.3.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Cơ sở tín ngưỡng, tổ chức tôn giáo, tổ chức tôn giáo trực thuộc tổ chức quyên góp trong địa bàn một xã.</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10.4.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10.5.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10.6.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10.7.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09"/>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về việc tổ chức quyên góp </w:t>
      </w:r>
      <w:r>
        <w:rPr>
          <w:rFonts w:ascii="Times New Roman" w:hAnsi="Times New Roman" w:eastAsia="Times New Roman" w:cs="Times New Roman"/>
          <w:color w:val="000000" w:themeColor="text1"/>
          <w:sz w:val="26"/>
          <w:szCs w:val="26"/>
          <w:lang w:val="vi-VN"/>
          <w14:textFill>
            <w14:solidFill>
              <w14:schemeClr w14:val="tx1"/>
            </w14:solidFill>
          </w14:textFill>
        </w:rPr>
        <w:t>(mẫu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47,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Phụ lục Nghị định số </w:t>
      </w:r>
      <w:r>
        <w:rPr>
          <w:rFonts w:ascii="Times New Roman" w:hAnsi="Times New Roman" w:eastAsia="Times New Roman" w:cs="Times New Roman"/>
          <w:color w:val="000000" w:themeColor="text1"/>
          <w:sz w:val="26"/>
          <w:szCs w:val="26"/>
          <w:lang w:val="sv-SE"/>
          <w14:textFill>
            <w14:solidFill>
              <w14:schemeClr w14:val="tx1"/>
            </w14:solidFill>
          </w14:textFill>
        </w:rPr>
        <w:t>162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/2017/NĐ-CP ngày </w:t>
      </w:r>
      <w:r>
        <w:rPr>
          <w:rFonts w:ascii="Times New Roman" w:hAnsi="Times New Roman" w:eastAsia="Times New Roman" w:cs="Times New Roman"/>
          <w:color w:val="000000" w:themeColor="text1"/>
          <w:sz w:val="26"/>
          <w:szCs w:val="26"/>
          <w:lang w:val="sv-SE"/>
          <w14:textFill>
            <w14:solidFill>
              <w14:schemeClr w14:val="tx1"/>
            </w14:solidFill>
          </w14:textFill>
        </w:rPr>
        <w:t>30</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tháng </w:t>
      </w:r>
      <w:r>
        <w:rPr>
          <w:rFonts w:ascii="Times New Roman" w:hAnsi="Times New Roman" w:eastAsia="Times New Roman" w:cs="Times New Roman"/>
          <w:color w:val="000000" w:themeColor="text1"/>
          <w:sz w:val="26"/>
          <w:szCs w:val="26"/>
          <w:lang w:val="sv-SE"/>
          <w14:textFill>
            <w14:solidFill>
              <w14:schemeClr w14:val="tx1"/>
            </w14:solidFill>
          </w14:textFill>
        </w:rPr>
        <w:t>12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năm 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10.8.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Trước khi tổ chức quyên góp 05 ngày làm việc, cơ sở tín ngưỡng, tổ chức tôn giáo, tổ chức tôn giáo trực thuộc có trách nhiệm thông báo bằng văn bản đến Ủy ban nhân dân cấp xã nơi tổ chức quyên góp.</w:t>
      </w:r>
    </w:p>
    <w:p>
      <w:pPr>
        <w:spacing w:after="120"/>
        <w:ind w:firstLine="720"/>
        <w:jc w:val="both"/>
        <w:rPr>
          <w:rFonts w:ascii="Times New Roman" w:hAnsi="Times New Roman" w:eastAsia="Times New Roman" w:cs="Times New Roman"/>
          <w:color w:val="000000" w:themeColor="text1"/>
          <w:spacing w:val="-4"/>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Hoạt động quyên góp của cơ sở tín ngưỡng, tổ chức tôn giáo, tổ chức tôn giáo trực thuộc phải có sổ sách thu, chi bảo đảm công khai, minh bạch.</w:t>
      </w:r>
      <w:r>
        <w:rPr>
          <w:rFonts w:ascii="Times New Roman" w:hAnsi="Times New Roman" w:eastAsia="Times New Roman" w:cs="Times New Roman"/>
          <w:color w:val="000000" w:themeColor="text1"/>
          <w:spacing w:val="-4"/>
          <w:sz w:val="26"/>
          <w:szCs w:val="26"/>
          <w:lang w:val="sv-SE"/>
          <w14:textFill>
            <w14:solidFill>
              <w14:schemeClr w14:val="tx1"/>
            </w14:solidFill>
          </w14:textFill>
        </w:rPr>
        <w:t xml:space="preserve"> Tài sản được quyên góp phải được quản lý, sử dụng đúng mục đích đã thông báo, phục vụ cho hoạt động tín ngưỡng, hoạt động tôn giáo và từ thiện xã hội.</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pacing w:val="-6"/>
          <w:sz w:val="26"/>
          <w:szCs w:val="26"/>
          <w:lang w:val="sv-SE"/>
          <w14:textFill>
            <w14:solidFill>
              <w14:schemeClr w14:val="tx1"/>
            </w14:solidFill>
          </w14:textFill>
        </w:rPr>
        <w:t>- Không được lợi dụng danh nghĩa cơ sở tín ngưỡng, tổ chức tôn giáo, tổ chức tôn giáo trực thuộc để quyên góp nhằm trục lợi hoặc trái mục đích quyên góp.</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10.9.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lang w:val="vi-VN"/>
          <w14:textFill>
            <w14:solidFill>
              <w14:schemeClr w14:val="tx1"/>
            </w14:solidFill>
          </w14:textFill>
        </w:rPr>
        <w:t xml:space="preserve">Điểm a, Khoản 3, Điều 19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10.10.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10.2;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spacing w:after="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B47</w:t>
      </w:r>
    </w:p>
    <w:p>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iCs/>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i/>
          <w:iCs/>
          <w:color w:val="000000" w:themeColor="text1"/>
          <w:sz w:val="26"/>
          <w:szCs w:val="26"/>
          <w:vertAlign w:val="superscript"/>
          <w:lang w:val="pt-BR"/>
          <w14:textFill>
            <w14:solidFill>
              <w14:schemeClr w14:val="tx1"/>
            </w14:solidFill>
          </w14:textFill>
        </w:rPr>
        <w:t>_____________________________________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pt-BR"/>
          <w14:textFill>
            <w14:solidFill>
              <w14:schemeClr w14:val="tx1"/>
            </w14:solidFill>
          </w14:textFill>
        </w:rPr>
        <w:t>(1)</w:t>
      </w:r>
      <w:r>
        <w:rPr>
          <w:rFonts w:ascii="Times New Roman" w:hAnsi="Times New Roman" w:eastAsia="Times New Roman" w:cs="Times New Roman"/>
          <w:i/>
          <w:color w:val="000000" w:themeColor="text1"/>
          <w:sz w:val="26"/>
          <w:szCs w:val="26"/>
          <w:lang w:val="pt-BR"/>
          <w14:textFill>
            <w14:solidFill>
              <w14:schemeClr w14:val="tx1"/>
            </w14:solidFill>
          </w14:textFill>
        </w:rPr>
        <w:t>…</w:t>
      </w:r>
      <w:r>
        <w:rPr>
          <w:rFonts w:ascii="Times New Roman" w:hAnsi="Times New Roman" w:eastAsia="Times New Roman" w:cs="Times New Roman"/>
          <w:i/>
          <w:iCs/>
          <w:color w:val="000000" w:themeColor="text1"/>
          <w:sz w:val="26"/>
          <w:szCs w:val="26"/>
          <w:lang w:val="pt-BR"/>
          <w14:textFill>
            <w14:solidFill>
              <w14:schemeClr w14:val="tx1"/>
            </w14:solidFill>
          </w14:textFill>
        </w:rPr>
        <w:t>, ngày……tháng……năm……</w:t>
      </w:r>
    </w:p>
    <w:p>
      <w:pPr>
        <w:tabs>
          <w:tab w:val="left" w:leader="dot" w:pos="8789"/>
        </w:tabs>
        <w:spacing w:after="0" w:line="240" w:lineRule="auto"/>
        <w:jc w:val="both"/>
        <w:rPr>
          <w:rFonts w:ascii="Times New Roman" w:hAnsi="Times New Roman" w:eastAsia="Times New Roman" w:cs="Times New Roman"/>
          <w:b/>
          <w:bCs/>
          <w:color w:val="000000" w:themeColor="text1"/>
          <w:sz w:val="26"/>
          <w:szCs w:val="26"/>
          <w:lang w:val="pt-BR"/>
          <w14:textFill>
            <w14:solidFill>
              <w14:schemeClr w14:val="tx1"/>
            </w14:solidFill>
          </w14:textFill>
        </w:rPr>
      </w:pP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THÔNG BÁO </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Về việc tổ chức quyên góp</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pt-BR"/>
          <w14:textFill>
            <w14:solidFill>
              <w14:schemeClr w14:val="tx1"/>
            </w14:solidFill>
          </w14:textFill>
        </w:rPr>
        <w:t>_________</w:t>
      </w:r>
    </w:p>
    <w:p>
      <w:pPr>
        <w:tabs>
          <w:tab w:val="left" w:leader="dot" w:pos="8789"/>
        </w:tabs>
        <w:spacing w:after="0" w:line="240" w:lineRule="auto"/>
        <w:jc w:val="center"/>
        <w:rPr>
          <w:rFonts w:ascii="Times New Roman" w:hAnsi="Times New Roman" w:eastAsia="Times New Roman" w:cs="Times New Roman"/>
          <w:b/>
          <w:bCs/>
          <w:color w:val="000000" w:themeColor="text1"/>
          <w:sz w:val="26"/>
          <w:szCs w:val="26"/>
          <w:lang w:val="pt-BR"/>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Kính gửi</w:t>
      </w:r>
      <w:r>
        <w:rPr>
          <w:rFonts w:ascii="Times New Roman" w:hAnsi="Times New Roman" w:eastAsia="Times New Roman" w:cs="Times New Roman"/>
          <w:iCs/>
          <w:color w:val="000000" w:themeColor="text1"/>
          <w:sz w:val="26"/>
          <w:szCs w:val="26"/>
          <w:lang w:val="pt-BR"/>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lang w:val="pt-BR"/>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Tên (chữ in hoa): …………………...…</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3</w:t>
      </w:r>
      <w:r>
        <w:rPr>
          <w:rFonts w:ascii="Times New Roman" w:hAnsi="Times New Roman" w:eastAsia="Times New Roman" w:cs="Times New Roman"/>
          <w:iCs/>
          <w:color w:val="000000" w:themeColor="text1"/>
          <w:sz w:val="26"/>
          <w:szCs w:val="26"/>
          <w:vertAlign w:val="superscript"/>
          <w:lang w:val="pt-BR"/>
          <w14:textFill>
            <w14:solidFill>
              <w14:schemeClr w14:val="tx1"/>
            </w14:solidFill>
          </w14:textFill>
        </w:rPr>
        <w:t>)</w:t>
      </w:r>
      <w:r>
        <w:rPr>
          <w:rFonts w:ascii="Times New Roman" w:hAnsi="Times New Roman" w:eastAsia="Times New Roman" w:cs="Times New Roman"/>
          <w:color w:val="000000" w:themeColor="text1"/>
          <w:sz w:val="26"/>
          <w:szCs w:val="26"/>
          <w:lang w:val="pt-BR"/>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Địa chỉ:.…………………………………………........…………………</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Người đại diện:……………………………………………………………..........</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Họ và tên:……………………………… Năm sinh:……………</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pt-BR"/>
          <w14:textFill>
            <w14:solidFill>
              <w14:schemeClr w14:val="tx1"/>
            </w14:solidFill>
          </w14:textFill>
        </w:rPr>
        <w:t>…………………………………….</w:t>
      </w:r>
      <w:r>
        <w:rPr>
          <w:rFonts w:ascii="Times New Roman" w:hAnsi="Times New Roman" w:eastAsia="Times New Roman" w:cs="Times New Roman"/>
          <w:iCs/>
          <w:color w:val="000000" w:themeColor="text1"/>
          <w:sz w:val="26"/>
          <w:szCs w:val="26"/>
          <w:lang w:val="pt-BR"/>
          <w14:textFill>
            <w14:solidFill>
              <w14:schemeClr w14:val="tx1"/>
            </w14:solidFill>
          </w14:textFill>
        </w:rPr>
        <w:tab/>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Chức vụ, phẩm vị (nếu có):………………………………....……….</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pt-BR"/>
          <w14:textFill>
            <w14:solidFill>
              <w14:schemeClr w14:val="tx1"/>
            </w14:solidFill>
          </w14:textFill>
        </w:rPr>
        <w:tab/>
      </w:r>
    </w:p>
    <w:p>
      <w:pPr>
        <w:tabs>
          <w:tab w:val="left" w:leader="dot" w:pos="8789"/>
        </w:tabs>
        <w:spacing w:after="0" w:line="240" w:lineRule="auto"/>
        <w:ind w:firstLine="567"/>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Ngày cấp:…………….….........Nơi cấp:.………………………………..............</w:t>
      </w:r>
    </w:p>
    <w:p>
      <w:pPr>
        <w:tabs>
          <w:tab w:val="left" w:leader="dot" w:pos="8789"/>
        </w:tabs>
        <w:spacing w:after="0" w:line="240" w:lineRule="auto"/>
        <w:ind w:firstLine="567"/>
        <w:jc w:val="both"/>
        <w:rPr>
          <w:rFonts w:ascii="Times New Roman" w:hAnsi="Times New Roman" w:eastAsia="Times New Roman" w:cs="Times New Roman"/>
          <w:b/>
          <w:bCs/>
          <w:color w:val="000000" w:themeColor="text1"/>
          <w:sz w:val="26"/>
          <w:szCs w:val="26"/>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Thông báo về việc tổ chức quyên góp với các nội dung sau:</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Mục đích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Địa bàn tổ chức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Cách thức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Thời gian thực hiện quyên góp:..………………………………………................</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Phương thức quản lý và sử dụng tài sản được quyên góp:.………………...........</w:t>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6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tcBorders>
              <w:top w:val="nil"/>
              <w:left w:val="nil"/>
              <w:bottom w:val="nil"/>
              <w:right w:val="nil"/>
            </w:tcBorders>
          </w:tcPr>
          <w:p>
            <w:pPr>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tc>
        <w:tc>
          <w:tcPr>
            <w:tcW w:w="6184" w:type="dxa"/>
            <w:tcBorders>
              <w:top w:val="nil"/>
              <w:left w:val="nil"/>
              <w:bottom w:val="nil"/>
              <w:right w:val="nil"/>
            </w:tcBorders>
          </w:tcPr>
          <w:p>
            <w:pPr>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p>
          <w:p>
            <w:pPr>
              <w:spacing w:after="0" w:line="240" w:lineRule="auto"/>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NGƯỜI ĐẠI DIỆN</w:t>
            </w: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 xml:space="preserve"> (3)</w:t>
            </w:r>
          </w:p>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 xml:space="preserve">              (Chữ ký, dấu</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spacing w:after="0" w:line="240" w:lineRule="auto"/>
        <w:ind w:firstLine="72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sz w:val="26"/>
          <w:szCs w:val="26"/>
          <w:vertAlign w:val="superscript"/>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spacing w:val="-8"/>
          <w:vertAlign w:val="superscript"/>
          <w14:textFill>
            <w14:solidFill>
              <w14:schemeClr w14:val="tx1"/>
            </w14:solidFill>
          </w14:textFill>
        </w:rPr>
      </w:pPr>
    </w:p>
    <w:p>
      <w:pPr>
        <w:spacing w:after="0" w:line="240" w:lineRule="auto"/>
        <w:ind w:firstLine="567"/>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pacing w:val="-8"/>
          <w:vertAlign w:val="superscript"/>
          <w14:textFill>
            <w14:solidFill>
              <w14:schemeClr w14:val="tx1"/>
            </w14:solidFill>
          </w14:textFill>
        </w:rPr>
        <w:t xml:space="preserve">(1)  </w:t>
      </w:r>
      <w:r>
        <w:rPr>
          <w:rFonts w:ascii="Times New Roman" w:hAnsi="Times New Roman" w:eastAsia="Times New Roman" w:cs="Times New Roman"/>
          <w:color w:val="000000" w:themeColor="text1"/>
          <w:spacing w:val="-8"/>
          <w14:textFill>
            <w14:solidFill>
              <w14:schemeClr w14:val="tx1"/>
            </w14:solidFill>
          </w14:textFill>
        </w:rPr>
        <w:t>Địa danh nơi có cơ sở tín ngưỡng, tổ chức tôn giáo hoặc tổ chức tôn giáo trực thuộ</w:t>
      </w:r>
      <w:r>
        <w:rPr>
          <w:rFonts w:ascii="Times New Roman" w:hAnsi="Times New Roman" w:eastAsia="Times New Roman" w:cs="Times New Roman"/>
          <w:color w:val="000000" w:themeColor="text1"/>
          <w14:textFill>
            <w14:solidFill>
              <w14:schemeClr w14:val="tx1"/>
            </w14:solidFill>
          </w14:textFill>
        </w:rPr>
        <w:t>c.</w:t>
      </w:r>
    </w:p>
    <w:p>
      <w:pPr>
        <w:spacing w:after="0" w:line="240" w:lineRule="auto"/>
        <w:ind w:firstLine="567"/>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vertAlign w:val="superscript"/>
          <w14:textFill>
            <w14:solidFill>
              <w14:schemeClr w14:val="tx1"/>
            </w14:solidFill>
          </w14:textFill>
        </w:rPr>
        <w:t>(2)</w:t>
      </w:r>
      <w:r>
        <w:rPr>
          <w:rFonts w:ascii="Times New Roman" w:hAnsi="Times New Roman" w:eastAsia="Times New Roman" w:cs="Times New Roman"/>
          <w:color w:val="000000" w:themeColor="text1"/>
          <w14:textFill>
            <w14:solidFill>
              <w14:schemeClr w14:val="tx1"/>
            </w14:solidFill>
          </w14:textFill>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pPr>
        <w:spacing w:after="0" w:line="240" w:lineRule="auto"/>
        <w:ind w:firstLine="567"/>
        <w:jc w:val="both"/>
        <w:rPr>
          <w:rFonts w:ascii="Times New Roman" w:hAnsi="Times New Roman" w:eastAsia="Times New Roman" w:cs="Times New Roman"/>
          <w:b/>
          <w:bCs/>
          <w:color w:val="000000" w:themeColor="text1"/>
          <w14:textFill>
            <w14:solidFill>
              <w14:schemeClr w14:val="tx1"/>
            </w14:solidFill>
          </w14:textFill>
        </w:rPr>
        <w:sectPr>
          <w:pgSz w:w="11907" w:h="16840"/>
          <w:pgMar w:top="1418" w:right="1021" w:bottom="1247" w:left="1418" w:header="567" w:footer="567" w:gutter="0"/>
          <w:cols w:space="720" w:num="1"/>
          <w:titlePg/>
          <w:docGrid w:linePitch="326" w:charSpace="0"/>
        </w:sectPr>
      </w:pPr>
      <w:r>
        <w:rPr>
          <w:rFonts w:ascii="Times New Roman" w:hAnsi="Times New Roman" w:eastAsia="Times New Roman" w:cs="Times New Roman"/>
          <w:color w:val="000000" w:themeColor="text1"/>
          <w:vertAlign w:val="superscript"/>
          <w14:textFill>
            <w14:solidFill>
              <w14:schemeClr w14:val="tx1"/>
            </w14:solidFill>
          </w14:textFill>
        </w:rPr>
        <w:t xml:space="preserve">(3) </w:t>
      </w:r>
      <w:r>
        <w:rPr>
          <w:rFonts w:ascii="Times New Roman" w:hAnsi="Times New Roman" w:eastAsia="Times New Roman" w:cs="Times New Roman"/>
          <w:color w:val="000000" w:themeColor="text1"/>
          <w14:textFill>
            <w14:solidFill>
              <w14:schemeClr w14:val="tx1"/>
            </w14:solidFill>
          </w14:textFill>
        </w:rPr>
        <w:t>C</w:t>
      </w:r>
      <w:r>
        <w:rPr>
          <w:rFonts w:ascii="Times New Roman" w:hAnsi="Times New Roman" w:eastAsia="Times New Roman" w:cs="Times New Roman"/>
          <w:bCs/>
          <w:color w:val="000000" w:themeColor="text1"/>
          <w14:textFill>
            <w14:solidFill>
              <w14:schemeClr w14:val="tx1"/>
            </w14:solidFill>
          </w14:textFill>
        </w:rPr>
        <w:t>ơ sở tín ngưỡng, tổ chức tôn giáo hoặc tổ chức tôn giáo trực thuộc. Đối với tổ chức tôn giáo, tổ chức tôn giáo trực thuộc, người đại diện phải ký tên và đóng dấu.</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D3BB4"/>
    <w:rsid w:val="514D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2024-04-02T08:18:00Z</dcterms:created>
  <dc:creator>Binh Le</dc:creator>
  <cp:lastModifiedBy>Binh Le</cp:lastModifiedBy>
  <dcterms:modified xsi:type="dcterms:W3CDTF">2024-04-02T08:19:00Z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1CD0B05A66ED45458959341CFD11541A_11</vt:lpwstr>
  </property>
</Properties>
</file>