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before="120" w:after="120"/>
        <w:ind w:firstLine="720"/>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5</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Thủ tục xét tặng danh hiệu Lao động tiên tiến</w:t>
      </w:r>
      <w:r>
        <w:rPr>
          <w:rFonts w:ascii="Times New Roman" w:hAnsi="Times New Roman" w:eastAsia="Times New Roman" w:cs="Times New Roman"/>
          <w:b/>
          <w:bCs/>
          <w:color w:val="000000" w:themeColor="text1"/>
          <w:sz w:val="26"/>
          <w:szCs w:val="26"/>
          <w:lang w:eastAsia="vi-VN"/>
          <w14:textFill>
            <w14:solidFill>
              <w14:schemeClr w14:val="tx1"/>
            </w14:solidFill>
          </w14:textFill>
        </w:rPr>
        <w:t xml:space="preserve"> - 2.000305</w:t>
      </w:r>
    </w:p>
    <w:p>
      <w:pPr>
        <w:widowControl w:val="0"/>
        <w:tabs>
          <w:tab w:val="left" w:pos="704"/>
        </w:tabs>
        <w:spacing w:before="120"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5.1.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5"/>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427"/>
        <w:gridCol w:w="6928"/>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427"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692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427"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6928"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4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427"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6928"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427"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6928"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ind w:left="360"/>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Lãnh đạo UBND cấp xã giao cho công chức tham mưu, đề xuất  và phê duyệt kết quả hồ sơ;</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27"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427"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6928"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5.2.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numPr>
          <w:ilvl w:val="0"/>
          <w:numId w:val="1"/>
        </w:numPr>
        <w:tabs>
          <w:tab w:val="left" w:pos="705"/>
        </w:tabs>
        <w:spacing w:before="120" w:after="120"/>
        <w:ind w:firstLine="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Văn bản đề nghị kèm theo danh sách cá nhân được đề nghị tặng danh hiệu Lao động tiên tiến;</w:t>
      </w:r>
    </w:p>
    <w:p>
      <w:pPr>
        <w:widowControl w:val="0"/>
        <w:numPr>
          <w:ilvl w:val="0"/>
          <w:numId w:val="1"/>
        </w:numPr>
        <w:tabs>
          <w:tab w:val="left" w:pos="732"/>
        </w:tabs>
        <w:spacing w:before="120" w:after="120"/>
        <w:ind w:firstLine="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Biên bản bình xét thi đua.</w:t>
      </w:r>
    </w:p>
    <w:p>
      <w:pPr>
        <w:widowControl w:val="0"/>
        <w:tabs>
          <w:tab w:val="left" w:pos="886"/>
        </w:tabs>
        <w:spacing w:before="120" w:after="120"/>
        <w:ind w:left="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w:t>
      </w:r>
      <w:r>
        <w:rPr>
          <w:rFonts w:ascii="Times New Roman" w:hAnsi="Times New Roman" w:eastAsia="Times New Roman" w:cs="Times New Roman"/>
          <w:b/>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Số lượng hồ sơ: 01 bộ (bản chính)</w:t>
      </w:r>
    </w:p>
    <w:p>
      <w:pPr>
        <w:keepNext/>
        <w:keepLines/>
        <w:widowControl w:val="0"/>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5.3. Đối tượn</w:t>
      </w:r>
      <w:r>
        <w:rPr>
          <w:rFonts w:ascii="Times New Roman" w:hAnsi="Times New Roman" w:eastAsia="Times New Roman" w:cs="Times New Roman"/>
          <w:color w:val="000000" w:themeColor="text1"/>
          <w:sz w:val="26"/>
          <w:szCs w:val="26"/>
          <w14:textFill>
            <w14:solidFill>
              <w14:schemeClr w14:val="tx1"/>
            </w14:solidFill>
          </w14:textFill>
        </w:rPr>
        <w:t xml:space="preserve">g thực hiện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Tổ chức, cá nhân.</w:t>
      </w:r>
    </w:p>
    <w:p>
      <w:pPr>
        <w:keepNext/>
        <w:keepLines/>
        <w:widowControl w:val="0"/>
        <w:tabs>
          <w:tab w:val="left" w:pos="709"/>
        </w:tabs>
        <w:spacing w:before="120" w:after="120"/>
        <w:ind w:left="46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5.4.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 phường, thị trấn.</w:t>
      </w:r>
    </w:p>
    <w:p>
      <w:pPr>
        <w:keepNext/>
        <w:keepLines/>
        <w:widowControl w:val="0"/>
        <w:spacing w:before="120" w:after="120"/>
        <w:ind w:firstLine="460"/>
        <w:jc w:val="both"/>
        <w:outlineLvl w:val="3"/>
        <w:rPr>
          <w:rFonts w:ascii="Times New Roman" w:hAnsi="Times New Roman" w:eastAsia="Times New Roman" w:cs="Times New Roman"/>
          <w:bCs/>
          <w:color w:val="000000" w:themeColor="text1"/>
          <w:spacing w:val="-6"/>
          <w:sz w:val="26"/>
          <w:szCs w:val="26"/>
          <w:lang w:val="vi-VN" w:eastAsia="vi-VN"/>
          <w14:textFill>
            <w14:solidFill>
              <w14:schemeClr w14:val="tx1"/>
            </w14:solidFill>
          </w14:textFill>
        </w:rPr>
      </w:pPr>
      <w:bookmarkStart w:id="0" w:name="_GoBack"/>
      <w:r>
        <w:rPr>
          <w:rFonts w:ascii="Times New Roman" w:hAnsi="Times New Roman" w:eastAsia="Times New Roman" w:cs="Times New Roman"/>
          <w:b/>
          <w:bCs/>
          <w:color w:val="000000" w:themeColor="text1"/>
          <w:spacing w:val="-6"/>
          <w:sz w:val="26"/>
          <w:szCs w:val="26"/>
          <w14:textFill>
            <w14:solidFill>
              <w14:schemeClr w14:val="tx1"/>
            </w14:solidFill>
          </w14:textFill>
        </w:rPr>
        <w:tab/>
      </w:r>
      <w:r>
        <w:rPr>
          <w:rFonts w:ascii="Times New Roman" w:hAnsi="Times New Roman" w:eastAsia="Times New Roman" w:cs="Times New Roman"/>
          <w:b/>
          <w:bCs/>
          <w:color w:val="000000" w:themeColor="text1"/>
          <w:spacing w:val="-6"/>
          <w:sz w:val="26"/>
          <w:szCs w:val="26"/>
          <w14:textFill>
            <w14:solidFill>
              <w14:schemeClr w14:val="tx1"/>
            </w14:solidFill>
          </w14:textFill>
        </w:rPr>
        <w:t>5.5. Kết quả thực hiện thủ tục hành chính:</w:t>
      </w:r>
      <w:r>
        <w:rPr>
          <w:rFonts w:ascii="Times New Roman" w:hAnsi="Times New Roman" w:eastAsia="Times New Roman" w:cs="Times New Roman"/>
          <w:bCs/>
          <w:color w:val="000000" w:themeColor="text1"/>
          <w:spacing w:val="-6"/>
          <w:sz w:val="26"/>
          <w:szCs w:val="26"/>
          <w14:textFill>
            <w14:solidFill>
              <w14:schemeClr w14:val="tx1"/>
            </w14:solidFill>
          </w14:textFill>
        </w:rPr>
        <w:t xml:space="preserve"> </w:t>
      </w:r>
      <w:r>
        <w:rPr>
          <w:rFonts w:ascii="Times New Roman" w:hAnsi="Times New Roman" w:eastAsia="Times New Roman" w:cs="Times New Roman"/>
          <w:bCs/>
          <w:color w:val="000000" w:themeColor="text1"/>
          <w:spacing w:val="-6"/>
          <w:sz w:val="26"/>
          <w:szCs w:val="26"/>
          <w:lang w:val="vi-VN" w:eastAsia="vi-VN"/>
          <w14:textFill>
            <w14:solidFill>
              <w14:schemeClr w14:val="tx1"/>
            </w14:solidFill>
          </w14:textFill>
        </w:rPr>
        <w:t>Quyết định của Chủ tịch Ủy ban nhân dân cấp xã tặng danh hiệu Lao động tiên tiến.</w:t>
      </w:r>
    </w:p>
    <w:bookmarkEnd w:id="0"/>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5.6. Phí, lệ phí: </w:t>
      </w:r>
      <w:r>
        <w:rPr>
          <w:rFonts w:ascii="Times New Roman" w:hAnsi="Times New Roman" w:cs="Times New Roman"/>
          <w:color w:val="000000" w:themeColor="text1"/>
          <w:sz w:val="26"/>
          <w:szCs w:val="26"/>
          <w14:textFill>
            <w14:solidFill>
              <w14:schemeClr w14:val="tx1"/>
            </w14:solidFill>
          </w14:textFill>
        </w:rPr>
        <w:t>Không.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5.7.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Không.</w:t>
      </w:r>
    </w:p>
    <w:p>
      <w:pPr>
        <w:spacing w:before="120"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5.8.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Arial" w:cs="Times New Roman"/>
          <w:color w:val="000000" w:themeColor="text1"/>
          <w:sz w:val="26"/>
          <w:szCs w:val="26"/>
          <w:lang w:val="vi-VN"/>
          <w14:textFill>
            <w14:solidFill>
              <w14:schemeClr w14:val="tx1"/>
            </w14:solidFill>
          </w14:textFill>
        </w:rPr>
        <w:t>Chủ thể là tập thể, cá nhân có thành tích được đề nghị khen thưởng.</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5.9. Căn cứ pháp lý của thủ tục hành chính: </w:t>
      </w:r>
    </w:p>
    <w:p>
      <w:pPr>
        <w:spacing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Tại </w:t>
      </w:r>
      <w:r>
        <w:rPr>
          <w:rFonts w:ascii="Times New Roman" w:hAnsi="Times New Roman" w:cs="Times New Roman"/>
          <w:iCs/>
          <w:color w:val="000000" w:themeColor="text1"/>
          <w:sz w:val="26"/>
          <w:szCs w:val="26"/>
          <w14:textFill>
            <w14:solidFill>
              <w14:schemeClr w14:val="tx1"/>
            </w14:solidFill>
          </w14:textFill>
        </w:rPr>
        <w:t xml:space="preserve">Khoản 1 và Khoản 3, Điều 24 của Luật Thi đua - Khen thưởng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ngày 26 tháng 11 năm 2003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spacing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14 tháng 6 năm 2005</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16 tháng 11 năm 2013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69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Nghị định số 91/2017/NĐ-CP ngày 31 tháng 7 năm 2017 của Chính phủ quy định chi tiết thi hành một số điều của Luật thi đua, khen thưởng</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s>
        <w:spacing w:before="120" w:after="12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12/2019/TT-BNV ngày 04 tháng 11 năm 2019 của Bộ trưởng Bộ Nội vụ quy định chi tiết thi hành một số điều của Nghị định số 91/2017/NĐ-CP ngày 31 tháng 7 năm 2017 của Chính phủ.</w:t>
      </w:r>
    </w:p>
    <w:p>
      <w:pPr>
        <w:widowControl w:val="0"/>
        <w:tabs>
          <w:tab w:val="left" w:pos="699"/>
        </w:tabs>
        <w:spacing w:before="120" w:after="12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05/2020/TT-BNV ngày 09 tháng 11 năm 2020 của Bộ trưởng Bộ Nội vụ về việc bãi bỏ khoản 7 Điều 2 Thông tư số 12/2019/TT-BNV ngày 04/11/2019 của Bộ trưởng Bộ Nội vụ.</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5.10.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X="-176" w:tblpY="1"/>
        <w:tblOverlap w:val="never"/>
        <w:tblW w:w="51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3"/>
        <w:gridCol w:w="3013"/>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77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2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02"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7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5.2;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2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02"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2774"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24"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02"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sectPr>
      <w:footerReference r:id="rId5" w:type="default"/>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0340328"/>
      <w:docPartObj>
        <w:docPartGallery w:val="autotext"/>
      </w:docPartObj>
    </w:sdtPr>
    <w:sdtContent>
      <w:p>
        <w:pPr>
          <w:pStyle w:val="4"/>
          <w:jc w:val="center"/>
        </w:pPr>
        <w:r>
          <w:fldChar w:fldCharType="begin"/>
        </w:r>
        <w:r>
          <w:instrText xml:space="preserve"> PAGE   \* MERGEFORMAT </w:instrText>
        </w:r>
        <w:r>
          <w:fldChar w:fldCharType="separate"/>
        </w:r>
        <w:r>
          <w:t>75</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90267"/>
    <w:multiLevelType w:val="multilevel"/>
    <w:tmpl w:val="0B590267"/>
    <w:lvl w:ilvl="0" w:tentative="0">
      <w:start w:val="1"/>
      <w:numFmt w:val="bullet"/>
      <w:lvlText w:val="-"/>
      <w:lvlJc w:val="left"/>
      <w:pPr>
        <w:ind w:left="0" w:firstLine="0"/>
      </w:pPr>
      <w:rPr>
        <w:rFonts w:ascii="Times New Roman" w:hAnsi="Times New Roman" w:eastAsia="Times New Roman" w:cs="Times New Roman"/>
        <w:b w:val="0"/>
        <w:bCs/>
        <w:i w:val="0"/>
        <w:iCs w:val="0"/>
        <w:smallCaps w:val="0"/>
        <w:strike w:val="0"/>
        <w:dstrike w:val="0"/>
        <w:color w:val="000000"/>
        <w:spacing w:val="0"/>
        <w:w w:val="100"/>
        <w:position w:val="0"/>
        <w:sz w:val="28"/>
        <w:szCs w:val="28"/>
        <w:u w:val="none"/>
        <w:lang w:val="vi-VN" w:eastAsia="vi-VN" w:bidi="vi-VN"/>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D5A18"/>
    <w:rsid w:val="5E4D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table" w:styleId="5">
    <w:name w:val="Table Grid"/>
    <w:basedOn w:val="3"/>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2023-06-21T00:43:00Z</dcterms:created>
  <dc:creator>Binh Le</dc:creator>
  <cp:lastModifiedBy>Binh Le</cp:lastModifiedBy>
  <dcterms:modified xsi:type="dcterms:W3CDTF">2023-06-21T00:44:54Z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8E287B8E3B17466692C87585E5D51893</vt:lpwstr>
  </property>
</Properties>
</file>