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before="120" w:after="120"/>
        <w:ind w:firstLine="720"/>
        <w:jc w:val="both"/>
        <w:rPr>
          <w:rFonts w:ascii="Times New Roman" w:hAnsi="Times New Roman" w:eastAsia="Times New Roman" w:cs="Times New Roman"/>
          <w:b/>
          <w:bCs/>
          <w:color w:val="000000" w:themeColor="text1"/>
          <w:spacing w:val="4"/>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3</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bCs/>
          <w:color w:val="000000" w:themeColor="text1"/>
          <w:spacing w:val="4"/>
          <w:sz w:val="26"/>
          <w:szCs w:val="26"/>
          <w:lang w:val="vi-VN" w:eastAsia="vi-VN"/>
          <w14:textFill>
            <w14:solidFill>
              <w14:schemeClr w14:val="tx1"/>
            </w14:solidFill>
          </w14:textFill>
        </w:rPr>
        <w:t>Thủ tục tặng Giấy khen của Chủ tịch Ủy ban nhân dân cấp xã về thành tích đột xuất</w:t>
      </w:r>
      <w:r>
        <w:rPr>
          <w:rFonts w:ascii="Times New Roman" w:hAnsi="Times New Roman" w:eastAsia="Times New Roman" w:cs="Times New Roman"/>
          <w:b/>
          <w:bCs/>
          <w:color w:val="000000" w:themeColor="text1"/>
          <w:spacing w:val="4"/>
          <w:sz w:val="26"/>
          <w:szCs w:val="26"/>
          <w:lang w:eastAsia="vi-VN"/>
          <w14:textFill>
            <w14:solidFill>
              <w14:schemeClr w14:val="tx1"/>
            </w14:solidFill>
          </w14:textFill>
        </w:rPr>
        <w:t xml:space="preserve"> - 2.000337</w:t>
      </w:r>
    </w:p>
    <w:p>
      <w:pPr>
        <w:widowControl w:val="0"/>
        <w:tabs>
          <w:tab w:val="left" w:pos="704"/>
        </w:tabs>
        <w:spacing w:before="120"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3.1.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659"/>
        <w:gridCol w:w="6696"/>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659"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669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659"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669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4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659"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669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659"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669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Lãnh đạo UBND cấp xã giao cho công chức tham mưu, đề xuất  và phê duyệt kết quả hồ sơ;</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659"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line="240" w:lineRule="auto"/>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p>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tabs>
          <w:tab w:val="left" w:pos="712"/>
        </w:tabs>
        <w:spacing w:before="120" w:after="120"/>
        <w:jc w:val="both"/>
        <w:rPr>
          <w:rFonts w:ascii="Times New Roman" w:hAnsi="Times New Roman" w:eastAsia="Times New Roman" w:cs="Times New Roman"/>
          <w:bCs/>
          <w:color w:val="000000" w:themeColor="text1"/>
          <w:sz w:val="26"/>
          <w:szCs w:val="26"/>
          <w:lang w:val="vi-VN"/>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ab/>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14:textFill>
            <w14:solidFill>
              <w14:schemeClr w14:val="tx1"/>
            </w14:solidFill>
          </w14:textFill>
        </w:rPr>
        <w:t>Văn bản đề nghị kèm theo danh sách tập thể, cá nhân được đề nghị tặng Giấy khen;</w:t>
      </w:r>
    </w:p>
    <w:p>
      <w:pPr>
        <w:widowControl w:val="0"/>
        <w:tabs>
          <w:tab w:val="left" w:pos="732"/>
        </w:tabs>
        <w:spacing w:before="120" w:after="1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ab/>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14:textFill>
            <w14:solidFill>
              <w14:schemeClr w14:val="tx1"/>
            </w14:solidFill>
          </w14:textFill>
        </w:rPr>
        <w:t>Báo cáo thành tích do tập thể, cá nhân được đề nghị khen thưởng trong đó ghi rõ thành tích để đề nghị khen thưởng;</w:t>
      </w:r>
    </w:p>
    <w:p>
      <w:pPr>
        <w:widowControl w:val="0"/>
        <w:tabs>
          <w:tab w:val="left" w:pos="732"/>
        </w:tabs>
        <w:spacing w:before="120" w:after="120"/>
        <w:jc w:val="both"/>
        <w:rPr>
          <w:rFonts w:ascii="Times New Roman" w:hAnsi="Times New Roman" w:eastAsia="Times New Roman" w:cs="Times New Roman"/>
          <w:bCs/>
          <w:color w:val="000000" w:themeColor="text1"/>
          <w:sz w:val="26"/>
          <w:szCs w:val="26"/>
          <w:lang w:val="vi-VN"/>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ab/>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14:textFill>
            <w14:solidFill>
              <w14:schemeClr w14:val="tx1"/>
            </w14:solidFill>
          </w14:textFill>
        </w:rPr>
        <w:t>Biên bản xét khen thưởng.</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3.3. Đối tượng thực hiện thủ tục hành chính: </w:t>
      </w:r>
      <w:r>
        <w:rPr>
          <w:rFonts w:ascii="Times New Roman" w:hAnsi="Times New Roman" w:cs="Times New Roman"/>
          <w:color w:val="000000" w:themeColor="text1"/>
          <w:sz w:val="26"/>
          <w:szCs w:val="26"/>
          <w14:textFill>
            <w14:solidFill>
              <w14:schemeClr w14:val="tx1"/>
            </w14:solidFill>
          </w14:textFill>
        </w:rPr>
        <w:t>Cá nhân.</w:t>
      </w:r>
    </w:p>
    <w:p>
      <w:pPr>
        <w:keepNext/>
        <w:keepLines/>
        <w:widowControl w:val="0"/>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3.4.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3.5. Kết quả thực hiện thủ tục hành chính:</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Quyết định của Chủ tịch Ủy ban nhân dân cấp xã tặng Giấy khen.</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3.6. Phí, lệ phí: </w:t>
      </w:r>
      <w:r>
        <w:rPr>
          <w:rFonts w:ascii="Times New Roman" w:hAnsi="Times New Roman" w:cs="Times New Roman"/>
          <w:color w:val="000000" w:themeColor="text1"/>
          <w:sz w:val="26"/>
          <w:szCs w:val="26"/>
          <w14:textFill>
            <w14:solidFill>
              <w14:schemeClr w14:val="tx1"/>
            </w14:solidFill>
          </w14:textFill>
        </w:rPr>
        <w:t>Không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Không.</w:t>
      </w:r>
    </w:p>
    <w:p>
      <w:pPr>
        <w:spacing w:before="120"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3.8.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Arial" w:cs="Times New Roman"/>
          <w:color w:val="000000" w:themeColor="text1"/>
          <w:sz w:val="26"/>
          <w:szCs w:val="26"/>
          <w:lang w:val="vi-VN"/>
          <w14:textFill>
            <w14:solidFill>
              <w14:schemeClr w14:val="tx1"/>
            </w14:solidFill>
          </w14:textFill>
        </w:rPr>
        <w:t>Chủ thể là tập thể, cá nhân có thành tích được đề nghị khen thưởng.</w:t>
      </w:r>
    </w:p>
    <w:p>
      <w:pPr>
        <w:spacing w:after="120"/>
        <w:ind w:firstLine="709"/>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 xml:space="preserve">3.9. Căn cứ pháp lý của thủ tục hành chính: </w:t>
      </w:r>
    </w:p>
    <w:p>
      <w:pPr>
        <w:spacing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Tại </w:t>
      </w:r>
      <w:r>
        <w:rPr>
          <w:rFonts w:ascii="Times New Roman" w:hAnsi="Times New Roman" w:cs="Times New Roman"/>
          <w:iCs/>
          <w:color w:val="000000" w:themeColor="text1"/>
          <w:sz w:val="26"/>
          <w:szCs w:val="26"/>
          <w14:textFill>
            <w14:solidFill>
              <w14:schemeClr w14:val="tx1"/>
            </w14:solidFill>
          </w14:textFill>
        </w:rPr>
        <w:t xml:space="preserve">điểm b, Khoản 1, 2, Điều 75 của Luật Thi đua – Khen thưởng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ngày 26 tháng 11 năm 2003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14 tháng 6 năm 2005</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16 tháng 11 năm 2013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69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Tại khoản 1, Điều 40 của </w:t>
      </w:r>
      <w:r>
        <w:rPr>
          <w:rFonts w:ascii="Times New Roman" w:hAnsi="Times New Roman" w:cs="Times New Roman"/>
          <w:iCs/>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Nghị định số 91/2017/NĐ-CP ngày 31 tháng 7 năm 2017 của Chính phủ quy định chi tiết thi hành một số điều của Luật thi đua, khen thưởng</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s>
        <w:spacing w:before="120" w:after="12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12/2019/TT-BNV ngày 04 tháng 11 năm 2019 của Bộ trưởng Bộ Nội vụ quy định chi tiết thi hành một số điều của Nghị định số 91/2017/NĐ-CP ngày 31 tháng 7 năm 2017 của Chính phủ.</w:t>
      </w:r>
    </w:p>
    <w:p>
      <w:pPr>
        <w:widowControl w:val="0"/>
        <w:tabs>
          <w:tab w:val="left" w:pos="699"/>
        </w:tabs>
        <w:spacing w:before="120" w:after="12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05/2020/TT-BNV ngày 09 tháng 11 năm 2020 của Bộ trưởng Bộ Nội vụ về việc bãi bỏ khoản 7 Điều 2 Thông tư số 12/2019/TT-BNV ngày 04/11/2019 của Bộ trưởng Bộ Nội vụ.</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3.10.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1"/>
        <w:gridCol w:w="2723"/>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3.2;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2846"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bookmarkStart w:id="0" w:name="_GoBack"/>
      <w:bookmarkEnd w:id="0"/>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32E09"/>
    <w:rsid w:val="0C232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2023-06-21T00:41:00Z</dcterms:created>
  <dc:creator>Binh Le</dc:creator>
  <cp:lastModifiedBy>Binh Le</cp:lastModifiedBy>
  <dcterms:modified xsi:type="dcterms:W3CDTF">2023-06-21T00:42:32Z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8CCBF1133596400796A7F2258138C01B</vt:lpwstr>
  </property>
</Properties>
</file>