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0" w:name="_GoBack"/>
      <w:bookmarkEnd w:id="0"/>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794 /QĐ-UBND-HC ngày 21  tháng  7  năm 2022</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GIỮ NGUYÊN</w:t>
      </w: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I. LĨNH VỰC THI ĐUA - KHEN THƯỞNG</w:t>
      </w: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lang w:eastAsia="vi-VN"/>
          <w14:textFill>
            <w14:solidFill>
              <w14:schemeClr w14:val="tx1"/>
            </w14:solidFill>
          </w14:textFill>
        </w:rPr>
        <w:t>2</w:t>
      </w: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 xml:space="preserve">. </w:t>
      </w:r>
      <w:r>
        <w:rPr>
          <w:rFonts w:ascii="Times New Roman" w:hAnsi="Times New Roman" w:eastAsia="Times New Roman" w:cs="Times New Roman"/>
          <w:b/>
          <w:bCs/>
          <w:color w:val="000000" w:themeColor="text1"/>
          <w:sz w:val="26"/>
          <w:szCs w:val="26"/>
          <w14:textFill>
            <w14:solidFill>
              <w14:schemeClr w14:val="tx1"/>
            </w14:solidFill>
          </w14:textFill>
        </w:rPr>
        <w:t>Tặng Giấy khen của Chủ tịch Ủy ban nhân dân cấp xã về thành tích thi đua theo đợt hoặc chuyên đề - 2.000346</w:t>
      </w:r>
    </w:p>
    <w:p>
      <w:pPr>
        <w:widowControl w:val="0"/>
        <w:tabs>
          <w:tab w:val="left" w:pos="704"/>
        </w:tabs>
        <w:spacing w:before="120" w:after="120"/>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ab/>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2.1.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4"/>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2410"/>
        <w:gridCol w:w="7087"/>
        <w:gridCol w:w="283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blHeader/>
        </w:trPr>
        <w:tc>
          <w:tcPr>
            <w:tcW w:w="11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410"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087"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835"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35"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410"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087"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Calibri" w:cs="Times New Roman"/>
                <w:b/>
                <w:bCs/>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mức độ 4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851"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410"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087"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hoặc chuyển vào đầu giờ ngày làm việc tiếp theo đối với trường hợp tiếp nhận sau 15 giờ hàng ngày.</w:t>
            </w:r>
          </w:p>
        </w:tc>
        <w:tc>
          <w:tcPr>
            <w:tcW w:w="851"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410"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087"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thủ tục hành chính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835"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85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835" w:type="dxa"/>
            <w:vAlign w:val="center"/>
          </w:tcPr>
          <w:p>
            <w:pPr>
              <w:spacing w:before="80" w:after="80" w:line="234" w:lineRule="atLeast"/>
              <w:ind w:left="36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cấp xã giao cho công chức tham mưu, đề xuất  và phê duyệt kết quả hồ sơ;</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835"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410"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835"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410"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087"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14:textFill>
                  <w14:solidFill>
                    <w14:schemeClr w14:val="tx1"/>
                  </w14:solidFill>
                </w14:textFill>
              </w:rPr>
              <w:t xml:space="preserve"> theo hướng dẫn của Bưu điện)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835"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851"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2.2.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widowControl w:val="0"/>
        <w:numPr>
          <w:ilvl w:val="0"/>
          <w:numId w:val="1"/>
        </w:numPr>
        <w:tabs>
          <w:tab w:val="left" w:pos="706"/>
        </w:tabs>
        <w:spacing w:before="120" w:after="120"/>
        <w:ind w:firstLine="46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color w:val="000000" w:themeColor="text1"/>
          <w:sz w:val="26"/>
          <w:szCs w:val="26"/>
          <w:lang w:eastAsia="vi-VN"/>
          <w14:textFill>
            <w14:solidFill>
              <w14:schemeClr w14:val="tx1"/>
            </w14:solidFill>
          </w14:textFill>
        </w:rPr>
        <w:tab/>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Văn bản đề nghị kèm theo danh sách tập thể, cá nhân được đề nghị tặng Giấy khen;</w:t>
      </w:r>
    </w:p>
    <w:p>
      <w:pPr>
        <w:widowControl w:val="0"/>
        <w:numPr>
          <w:ilvl w:val="0"/>
          <w:numId w:val="1"/>
        </w:numPr>
        <w:tabs>
          <w:tab w:val="left" w:pos="706"/>
        </w:tabs>
        <w:spacing w:before="120" w:after="120"/>
        <w:ind w:firstLine="46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Báo cáo thành tích do tập thể, cá nhân được đề nghị khen thưởng trong đó ghi rõ thành tích để đề nghị khen thưởng;</w:t>
      </w:r>
    </w:p>
    <w:p>
      <w:pPr>
        <w:widowControl w:val="0"/>
        <w:numPr>
          <w:ilvl w:val="0"/>
          <w:numId w:val="1"/>
        </w:numPr>
        <w:tabs>
          <w:tab w:val="left" w:pos="732"/>
        </w:tabs>
        <w:spacing w:before="120" w:after="120"/>
        <w:ind w:firstLine="46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Biên bản xét khen thưởng.</w:t>
      </w:r>
    </w:p>
    <w:p>
      <w:pPr>
        <w:widowControl w:val="0"/>
        <w:tabs>
          <w:tab w:val="left" w:pos="732"/>
        </w:tabs>
        <w:spacing w:before="120" w:after="120"/>
        <w:ind w:left="46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b) Số lượng hồ sơ: 01 bộ (bản chính)</w:t>
      </w:r>
    </w:p>
    <w:p>
      <w:pPr>
        <w:widowControl w:val="0"/>
        <w:tabs>
          <w:tab w:val="left" w:pos="567"/>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14:textFill>
            <w14:solidFill>
              <w14:schemeClr w14:val="tx1"/>
            </w14:solidFill>
          </w14:textFill>
        </w:rPr>
        <w:t xml:space="preserve">2.3. Đối tượng thực hiện thủ tục hành chính: </w:t>
      </w:r>
      <w:r>
        <w:rPr>
          <w:rFonts w:ascii="Times New Roman" w:hAnsi="Times New Roman" w:cs="Times New Roman"/>
          <w:color w:val="000000" w:themeColor="text1"/>
          <w:sz w:val="26"/>
          <w:szCs w:val="26"/>
          <w14:textFill>
            <w14:solidFill>
              <w14:schemeClr w14:val="tx1"/>
            </w14:solidFill>
          </w14:textFill>
        </w:rPr>
        <w:t>Tổ chức, cá nhân.</w:t>
      </w:r>
    </w:p>
    <w:p>
      <w:pPr>
        <w:keepNext/>
        <w:keepLines/>
        <w:widowControl w:val="0"/>
        <w:tabs>
          <w:tab w:val="left" w:pos="852"/>
        </w:tabs>
        <w:spacing w:before="120" w:after="120"/>
        <w:ind w:left="460"/>
        <w:jc w:val="both"/>
        <w:outlineLvl w:val="3"/>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2.4. Cơ quan giải quyết thủ tục hành chính: </w:t>
      </w:r>
      <w:r>
        <w:rPr>
          <w:rFonts w:ascii="Times New Roman" w:hAnsi="Times New Roman" w:eastAsia="Times New Roman" w:cs="Times New Roman"/>
          <w:bCs/>
          <w:color w:val="000000" w:themeColor="text1"/>
          <w:sz w:val="26"/>
          <w:szCs w:val="26"/>
          <w:lang w:eastAsia="vi-VN"/>
          <w14:textFill>
            <w14:solidFill>
              <w14:schemeClr w14:val="tx1"/>
            </w14:solidFill>
          </w14:textFill>
        </w:rPr>
        <w:t>Ủy ban nhân dân</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cấp xã</w:t>
      </w:r>
      <w:r>
        <w:rPr>
          <w:rFonts w:ascii="Times New Roman" w:hAnsi="Times New Roman" w:eastAsia="Times New Roman" w:cs="Times New Roman"/>
          <w:bCs/>
          <w:color w:val="000000" w:themeColor="text1"/>
          <w:sz w:val="26"/>
          <w:szCs w:val="26"/>
          <w:lang w:eastAsia="vi-VN"/>
          <w14:textFill>
            <w14:solidFill>
              <w14:schemeClr w14:val="tx1"/>
            </w14:solidFill>
          </w14:textFill>
        </w:rPr>
        <w:t>.</w:t>
      </w:r>
    </w:p>
    <w:p>
      <w:pPr>
        <w:keepNext/>
        <w:keepLines/>
        <w:widowControl w:val="0"/>
        <w:spacing w:before="120" w:after="120"/>
        <w:ind w:firstLine="460"/>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2.5. Kết quả thực hiện thủ tục hành chính:</w:t>
      </w:r>
      <w:r>
        <w:rPr>
          <w:rFonts w:ascii="Times New Roman" w:hAnsi="Times New Roman" w:eastAsia="Times New Roman" w:cs="Times New Roman"/>
          <w:bCs/>
          <w:color w:val="000000" w:themeColor="text1"/>
          <w:sz w:val="26"/>
          <w:szCs w:val="26"/>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Quyết định của Chủ tịch Ủy ban nhân dân cấp xã tặng Giấy khen.</w:t>
      </w:r>
    </w:p>
    <w:p>
      <w:pPr>
        <w:spacing w:before="120" w:after="120"/>
        <w:ind w:firstLine="460"/>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b/>
          <w:color w:val="000000" w:themeColor="text1"/>
          <w:sz w:val="26"/>
          <w:szCs w:val="26"/>
          <w14:textFill>
            <w14:solidFill>
              <w14:schemeClr w14:val="tx1"/>
            </w14:solidFill>
          </w14:textFill>
        </w:rPr>
        <w:t xml:space="preserve">2.6. Phí, lệ phí: </w:t>
      </w:r>
      <w:r>
        <w:rPr>
          <w:rFonts w:ascii="Times New Roman" w:hAnsi="Times New Roman" w:cs="Times New Roman"/>
          <w:color w:val="000000" w:themeColor="text1"/>
          <w:sz w:val="26"/>
          <w:szCs w:val="26"/>
          <w14:textFill>
            <w14:solidFill>
              <w14:schemeClr w14:val="tx1"/>
            </w14:solidFill>
          </w14:textFill>
        </w:rPr>
        <w:t>Không</w:t>
      </w:r>
    </w:p>
    <w:p>
      <w:pPr>
        <w:spacing w:before="120" w:after="120"/>
        <w:ind w:firstLine="460"/>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2.7. Tên mẫu đơn, mẫu tờ khai</w:t>
      </w:r>
      <w:r>
        <w:rPr>
          <w:rFonts w:ascii="Times New Roman" w:hAnsi="Times New Roman" w:eastAsia="Times New Roman" w:cs="Times New Roman"/>
          <w:bCs/>
          <w:color w:val="000000" w:themeColor="text1"/>
          <w:sz w:val="26"/>
          <w:szCs w:val="26"/>
          <w14:textFill>
            <w14:solidFill>
              <w14:schemeClr w14:val="tx1"/>
            </w14:solidFill>
          </w14:textFill>
        </w:rPr>
        <w:t xml:space="preserve">: </w:t>
      </w:r>
      <w:r>
        <w:rPr>
          <w:rFonts w:ascii="Times New Roman" w:hAnsi="Times New Roman" w:cs="Times New Roman"/>
          <w:color w:val="000000" w:themeColor="text1"/>
          <w:sz w:val="26"/>
          <w:szCs w:val="26"/>
          <w14:textFill>
            <w14:solidFill>
              <w14:schemeClr w14:val="tx1"/>
            </w14:solidFill>
          </w14:textFill>
        </w:rPr>
        <w:t>Không có</w:t>
      </w:r>
    </w:p>
    <w:p>
      <w:pPr>
        <w:spacing w:before="120" w:after="120"/>
        <w:ind w:firstLine="46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2.8. Yêu cầu, điều kiện thực hiện thủ tục hành chính:</w:t>
      </w:r>
      <w:r>
        <w:rPr>
          <w:rFonts w:ascii="Times New Roman" w:hAnsi="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Arial" w:cs="Times New Roman"/>
          <w:color w:val="000000" w:themeColor="text1"/>
          <w:sz w:val="26"/>
          <w:szCs w:val="26"/>
          <w:lang w:val="vi-VN"/>
          <w14:textFill>
            <w14:solidFill>
              <w14:schemeClr w14:val="tx1"/>
            </w14:solidFill>
          </w14:textFill>
        </w:rPr>
        <w:t>Chủ thể là tập thể, cá nhân có thành tích được đề nghị khen thưởng.</w:t>
      </w:r>
    </w:p>
    <w:p>
      <w:pPr>
        <w:spacing w:after="120"/>
        <w:ind w:firstLine="460"/>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 xml:space="preserve">2.9. Căn cứ pháp lý của thủ tục hành chính: </w:t>
      </w:r>
    </w:p>
    <w:p>
      <w:pPr>
        <w:spacing w:after="120"/>
        <w:ind w:firstLine="46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Tại </w:t>
      </w:r>
      <w:r>
        <w:rPr>
          <w:rFonts w:ascii="Times New Roman" w:hAnsi="Times New Roman" w:cs="Times New Roman"/>
          <w:iCs/>
          <w:color w:val="000000" w:themeColor="text1"/>
          <w:sz w:val="26"/>
          <w:szCs w:val="26"/>
          <w14:textFill>
            <w14:solidFill>
              <w14:schemeClr w14:val="tx1"/>
            </w14:solidFill>
          </w14:textFill>
        </w:rPr>
        <w:t xml:space="preserve">điểm a, Khoản 1, Điều 75 và điểm a, Khoản 2  Điều 75 của Luật Thi đua – Khen thưởng </w:t>
      </w:r>
      <w:r>
        <w:rPr>
          <w:rFonts w:ascii="Times New Roman" w:hAnsi="Times New Roman" w:eastAsia="Times New Roman" w:cs="Times New Roman"/>
          <w:color w:val="000000" w:themeColor="text1"/>
          <w:sz w:val="26"/>
          <w:szCs w:val="26"/>
          <w:lang w:val="vi-VN" w:eastAsia="vi-VN"/>
          <w14:textFill>
            <w14:solidFill>
              <w14:schemeClr w14:val="tx1"/>
            </w14:solidFill>
          </w14:textFill>
        </w:rPr>
        <w:t>ngày 26 tháng 11 năm 2003</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426"/>
          <w:tab w:val="left" w:pos="709"/>
        </w:tabs>
        <w:spacing w:before="120" w:after="12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ab/>
      </w: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Luật sửa đổi, bổ sung một số điều của Luật thi đua, khen thưởng ngày 14 tháng 6 năm 2005</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426"/>
          <w:tab w:val="left" w:pos="709"/>
        </w:tabs>
        <w:spacing w:before="120" w:after="12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ab/>
      </w: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Luật sửa đổi, bổ sung một số điều của Luật thi đua, khen thưởng ngày 16 tháng 11 năm 2013</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426"/>
          <w:tab w:val="left" w:pos="699"/>
        </w:tabs>
        <w:spacing w:before="120" w:after="12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eastAsia="Times New Roman" w:cs="Times New Roman"/>
          <w:color w:val="000000" w:themeColor="text1"/>
          <w:sz w:val="26"/>
          <w:szCs w:val="26"/>
          <w:lang w:eastAsia="vi-VN"/>
          <w14:textFill>
            <w14:solidFill>
              <w14:schemeClr w14:val="tx1"/>
            </w14:solidFill>
          </w14:textFill>
        </w:rPr>
        <w:tab/>
      </w:r>
      <w:r>
        <w:rPr>
          <w:rFonts w:ascii="Times New Roman" w:hAnsi="Times New Roman" w:eastAsia="Times New Roman" w:cs="Times New Roman"/>
          <w:color w:val="000000" w:themeColor="text1"/>
          <w:sz w:val="26"/>
          <w:szCs w:val="26"/>
          <w:lang w:eastAsia="vi-VN"/>
          <w14:textFill>
            <w14:solidFill>
              <w14:schemeClr w14:val="tx1"/>
            </w14:solidFill>
          </w14:textFill>
        </w:rPr>
        <w:t xml:space="preserve">- Tại khoản 1, Điều 40 của </w:t>
      </w:r>
      <w:r>
        <w:rPr>
          <w:rFonts w:ascii="Times New Roman" w:hAnsi="Times New Roman" w:cs="Times New Roman"/>
          <w:iCs/>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Nghị định số 91/2017/NĐ-CP ngày 31 tháng 7 năm 2017 của Chính phủ quy định chi tiết thi hành một số điều của Luật thi đua, khen thưởng</w:t>
      </w:r>
      <w:r>
        <w:rPr>
          <w:rFonts w:ascii="Times New Roman" w:hAnsi="Times New Roman" w:eastAsia="Times New Roman" w:cs="Times New Roman"/>
          <w:color w:val="000000" w:themeColor="text1"/>
          <w:sz w:val="26"/>
          <w:szCs w:val="26"/>
          <w:lang w:eastAsia="vi-VN"/>
          <w14:textFill>
            <w14:solidFill>
              <w14:schemeClr w14:val="tx1"/>
            </w14:solidFill>
          </w14:textFill>
        </w:rPr>
        <w:t>.</w:t>
      </w:r>
    </w:p>
    <w:p>
      <w:pPr>
        <w:widowControl w:val="0"/>
        <w:tabs>
          <w:tab w:val="left" w:pos="709"/>
        </w:tabs>
        <w:spacing w:before="120" w:after="120"/>
        <w:jc w:val="both"/>
        <w:rPr>
          <w:rFonts w:ascii="Times New Roman" w:hAnsi="Times New Roman" w:cs="Times New Roman"/>
          <w:color w:val="000000" w:themeColor="text1"/>
          <w:sz w:val="26"/>
          <w:szCs w:val="26"/>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ab/>
      </w:r>
      <w:r>
        <w:rPr>
          <w:rFonts w:ascii="Times New Roman" w:hAnsi="Times New Roman" w:cs="Times New Roman"/>
          <w:color w:val="000000" w:themeColor="text1"/>
          <w:sz w:val="26"/>
          <w:szCs w:val="26"/>
          <w14:textFill>
            <w14:solidFill>
              <w14:schemeClr w14:val="tx1"/>
            </w14:solidFill>
          </w14:textFill>
        </w:rPr>
        <w:t>- Thông tư số 12/2019/TT-BNV ngày 04 tháng 11 năm 2019 của Bộ trưởng Bộ Nội vụ quy định chi tiết thi hành một số điều của Nghị định số 91/2017/NĐ-CP ngày 31 tháng 7 năm 2017 của Chính phủ.</w:t>
      </w:r>
    </w:p>
    <w:p>
      <w:pPr>
        <w:widowControl w:val="0"/>
        <w:tabs>
          <w:tab w:val="left" w:pos="699"/>
        </w:tabs>
        <w:spacing w:before="120" w:after="120"/>
        <w:jc w:val="both"/>
        <w:rPr>
          <w:rFonts w:ascii="Times New Roman" w:hAnsi="Times New Roman" w:eastAsia="Times New Roman" w:cs="Times New Roman"/>
          <w:color w:val="000000" w:themeColor="text1"/>
          <w:sz w:val="26"/>
          <w:szCs w:val="26"/>
          <w:lang w:eastAsia="vi-VN"/>
          <w14:textFill>
            <w14:solidFill>
              <w14:schemeClr w14:val="tx1"/>
            </w14:solidFill>
          </w14:textFill>
        </w:rPr>
      </w:pPr>
      <w:r>
        <w:rPr>
          <w:rFonts w:ascii="Times New Roman" w:hAnsi="Times New Roman" w:cs="Times New Roman"/>
          <w:color w:val="000000" w:themeColor="text1"/>
          <w:sz w:val="26"/>
          <w:szCs w:val="26"/>
          <w14:textFill>
            <w14:solidFill>
              <w14:schemeClr w14:val="tx1"/>
            </w14:solidFill>
          </w14:textFill>
        </w:rPr>
        <w:tab/>
      </w:r>
      <w:r>
        <w:rPr>
          <w:rFonts w:ascii="Times New Roman" w:hAnsi="Times New Roman" w:cs="Times New Roman"/>
          <w:color w:val="000000" w:themeColor="text1"/>
          <w:sz w:val="26"/>
          <w:szCs w:val="26"/>
          <w14:textFill>
            <w14:solidFill>
              <w14:schemeClr w14:val="tx1"/>
            </w14:solidFill>
          </w14:textFill>
        </w:rPr>
        <w:t>- Thông tư số 05/2020/TT-BNV ngày 09 tháng 11 năm 2020 của Bộ trưởng Bộ Nội vụ về việc bãi bỏ khoản 7 Điều 2 Thông tư số 12/2019/TT-BNV ngày 04/11/2019 của Bộ trưởng Bộ Nội vụ.</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2.10.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1"/>
        <w:gridCol w:w="2770"/>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953"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01"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2.2;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953"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UBND cấp xã </w:t>
            </w:r>
          </w:p>
        </w:tc>
        <w:tc>
          <w:tcPr>
            <w:tcW w:w="1201" w:type="pc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02 năm, sau đó chuyển hồ sơ đến kho lưu trữ của cấp xã</w:t>
            </w:r>
          </w:p>
        </w:tc>
      </w:tr>
    </w:tbl>
    <w:p/>
    <w:sectPr>
      <w:pgSz w:w="16838" w:h="11906" w:orient="landscape"/>
      <w:pgMar w:top="136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90267"/>
    <w:multiLevelType w:val="multilevel"/>
    <w:tmpl w:val="0B590267"/>
    <w:lvl w:ilvl="0" w:tentative="0">
      <w:start w:val="1"/>
      <w:numFmt w:val="bullet"/>
      <w:lvlText w:val="-"/>
      <w:lvlJc w:val="left"/>
      <w:pPr>
        <w:ind w:left="0" w:firstLine="0"/>
      </w:pPr>
      <w:rPr>
        <w:rFonts w:ascii="Times New Roman" w:hAnsi="Times New Roman" w:eastAsia="Times New Roman" w:cs="Times New Roman"/>
        <w:b w:val="0"/>
        <w:bCs/>
        <w:i w:val="0"/>
        <w:iCs w:val="0"/>
        <w:smallCaps w:val="0"/>
        <w:strike w:val="0"/>
        <w:dstrike w:val="0"/>
        <w:color w:val="000000"/>
        <w:spacing w:val="0"/>
        <w:w w:val="100"/>
        <w:position w:val="0"/>
        <w:sz w:val="28"/>
        <w:szCs w:val="28"/>
        <w:u w:val="none"/>
        <w:lang w:val="vi-VN" w:eastAsia="vi-VN" w:bidi="vi-VN"/>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D195A"/>
    <w:rsid w:val="6CFD1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2023-06-21T00:40:00Z</dcterms:created>
  <dc:creator>Binh Le</dc:creator>
  <cp:lastModifiedBy>Binh Le</cp:lastModifiedBy>
  <dcterms:modified xsi:type="dcterms:W3CDTF">2023-06-21T00:41:37Z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A7A2756C94C84A5B8B6794DF8C22883C</vt:lpwstr>
  </property>
</Properties>
</file>