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before="120" w:after="120" w:line="240" w:lineRule="auto"/>
        <w:ind w:firstLine="567"/>
        <w:rPr>
          <w:i/>
          <w:color w:val="0070C0"/>
          <w:szCs w:val="28"/>
          <w:lang w:val="en-US"/>
        </w:rPr>
      </w:pPr>
      <w:r>
        <w:rPr>
          <w:b/>
          <w:color w:val="0070C0"/>
          <w:szCs w:val="28"/>
          <w:lang w:val="en-US"/>
        </w:rPr>
        <w:t>1</w:t>
      </w:r>
      <w:r>
        <w:rPr>
          <w:b/>
          <w:color w:val="0070C0"/>
          <w:szCs w:val="28"/>
        </w:rPr>
        <w:t xml:space="preserve">. </w:t>
      </w:r>
      <w:r>
        <w:rPr>
          <w:b/>
          <w:color w:val="0070C0"/>
          <w:szCs w:val="28"/>
          <w:lang w:val="en-US"/>
        </w:rPr>
        <w:t>Giải quyết chế độ trợ cấp thờ cúng liệt sĩ</w:t>
      </w:r>
    </w:p>
    <w:p>
      <w:pPr>
        <w:spacing w:before="120" w:after="120" w:line="240" w:lineRule="auto"/>
        <w:ind w:firstLine="567"/>
        <w:rPr>
          <w:b/>
          <w:szCs w:val="28"/>
        </w:rPr>
      </w:pPr>
      <w:r>
        <w:rPr>
          <w:b/>
          <w:szCs w:val="28"/>
          <w:lang w:val="pt-BR"/>
        </w:rPr>
        <w:t>1.1</w:t>
      </w:r>
      <w:r>
        <w:rPr>
          <w:b/>
          <w:szCs w:val="28"/>
        </w:rPr>
        <w:t>. Trình tự, cách thức, thời gian giải quyết</w:t>
      </w:r>
    </w:p>
    <w:tbl>
      <w:tblPr>
        <w:tblStyle w:val="4"/>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04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w:t>
            </w:r>
            <w:r>
              <w:rPr>
                <w:szCs w:val="28"/>
                <w:lang w:val="en-US"/>
              </w:rPr>
              <w:t xml:space="preserve"> 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lang w:val="en-US"/>
              </w:rPr>
            </w:pPr>
            <w:r>
              <w:rPr>
                <w:szCs w:val="28"/>
              </w:rPr>
              <w:t xml:space="preserve">Sau khi nhận hồ sơ thủ tục hành chính từ Bộ phận tiếp nhận và trả kết quả, công chức tiếp nhận hồ sơ, thẩm định, dự thảo kết quả thủ tục hành chính, trình </w:t>
            </w:r>
            <w:r>
              <w:rPr>
                <w:szCs w:val="28"/>
                <w:lang w:val="en-US"/>
              </w:rPr>
              <w:t>cấp có thẩm quyền phê duyệt.</w:t>
            </w:r>
          </w:p>
        </w:tc>
        <w:tc>
          <w:tcPr>
            <w:tcW w:w="3040" w:type="dxa"/>
            <w:vAlign w:val="center"/>
          </w:tcPr>
          <w:p>
            <w:pPr>
              <w:spacing w:before="120" w:after="120" w:line="240" w:lineRule="auto"/>
              <w:rPr>
                <w:szCs w:val="28"/>
              </w:rPr>
            </w:pPr>
            <w:r>
              <w:rPr>
                <w:szCs w:val="28"/>
                <w:lang w:val="en-US"/>
              </w:rPr>
              <w:t>24</w:t>
            </w:r>
            <w:r>
              <w:rPr>
                <w:szCs w:val="28"/>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rPr>
                <w:szCs w:val="28"/>
                <w:lang w:val="en-US"/>
              </w:rPr>
            </w:pPr>
            <w:r>
              <w:rPr>
                <w:szCs w:val="28"/>
                <w:lang w:val="en-US"/>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rPr>
              <w:t xml:space="preserve">- </w:t>
            </w: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pPr>
              <w:spacing w:before="120" w:after="120" w:line="240" w:lineRule="auto"/>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03 ngày làm việc;</w:t>
            </w:r>
          </w:p>
          <w:p>
            <w:pPr>
              <w:spacing w:before="120" w:after="120" w:line="240" w:lineRule="auto"/>
              <w:rPr>
                <w:rFonts w:eastAsia="Times New Roman"/>
                <w:bCs/>
                <w:szCs w:val="28"/>
                <w:lang w:val="en-US"/>
              </w:rPr>
            </w:pPr>
            <w:r>
              <w:rPr>
                <w:rFonts w:eastAsia="Times New Roman"/>
                <w:bCs/>
                <w:szCs w:val="28"/>
                <w:lang w:val="en-US"/>
              </w:rPr>
              <w:t>1,5 ngày làm việc;</w:t>
            </w:r>
          </w:p>
          <w:p>
            <w:pPr>
              <w:spacing w:before="120" w:after="120" w:line="240" w:lineRule="auto"/>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rPr>
                <w:szCs w:val="28"/>
                <w:lang w:val="en-US"/>
              </w:rPr>
            </w:pPr>
            <w:r>
              <w:rPr>
                <w:szCs w:val="28"/>
                <w:lang w:val="en-US"/>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04 ngày làm việc;</w:t>
            </w:r>
          </w:p>
          <w:p>
            <w:pPr>
              <w:spacing w:before="120" w:after="120" w:line="240" w:lineRule="auto"/>
              <w:rPr>
                <w:rFonts w:eastAsia="Times New Roman"/>
                <w:bCs/>
                <w:szCs w:val="28"/>
                <w:lang w:val="en-US"/>
              </w:rPr>
            </w:pPr>
            <w:r>
              <w:rPr>
                <w:rFonts w:eastAsia="Times New Roman"/>
                <w:bCs/>
                <w:szCs w:val="28"/>
                <w:lang w:val="en-US"/>
              </w:rPr>
              <w:t>2,5 ngày làm việc;</w:t>
            </w:r>
          </w:p>
          <w:p>
            <w:pPr>
              <w:spacing w:before="120" w:after="120" w:line="240" w:lineRule="auto"/>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720"/>
              <w:jc w:val="both"/>
              <w:rPr>
                <w:rFonts w:eastAsia="Times New Roman"/>
                <w:sz w:val="28"/>
                <w:szCs w:val="28"/>
              </w:rPr>
            </w:pPr>
            <w:r>
              <w:rPr>
                <w:rStyle w:val="15"/>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đối chiếu hồ sơ của liệt sĩ đang quản lý, tham mưu</w:t>
            </w:r>
            <w:r>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pPr>
              <w:pStyle w:val="5"/>
              <w:tabs>
                <w:tab w:val="left" w:pos="963"/>
              </w:tabs>
              <w:ind w:firstLine="720"/>
              <w:jc w:val="both"/>
              <w:rPr>
                <w:rStyle w:val="15"/>
                <w:rFonts w:asciiTheme="majorHAnsi" w:hAnsiTheme="majorHAnsi" w:cstheme="majorHAnsi"/>
              </w:rPr>
            </w:pPr>
            <w:r>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pPr>
              <w:spacing w:before="120" w:after="120" w:line="240" w:lineRule="auto"/>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rPr>
                <w:rFonts w:eastAsia="Calibri"/>
                <w:bCs/>
                <w:szCs w:val="28"/>
                <w:lang w:val="en-US"/>
              </w:rPr>
            </w:pPr>
            <w:r>
              <w:rPr>
                <w:rFonts w:eastAsia="Calibri"/>
                <w:bCs/>
                <w:szCs w:val="28"/>
                <w:lang w:val="en-US"/>
              </w:rPr>
              <w:t>05 ngày làm việc;</w:t>
            </w:r>
          </w:p>
          <w:p>
            <w:pPr>
              <w:spacing w:before="120" w:after="120" w:line="240" w:lineRule="auto"/>
              <w:rPr>
                <w:rFonts w:eastAsia="Calibri"/>
                <w:bCs/>
                <w:szCs w:val="28"/>
                <w:lang w:val="en-US"/>
              </w:rPr>
            </w:pPr>
            <w:r>
              <w:rPr>
                <w:rFonts w:eastAsia="Calibri"/>
                <w:bCs/>
                <w:szCs w:val="28"/>
                <w:lang w:val="en-US"/>
              </w:rPr>
              <w:t>04 ngày làm việc;</w:t>
            </w:r>
          </w:p>
          <w:p>
            <w:pPr>
              <w:spacing w:before="120" w:after="120" w:line="240" w:lineRule="auto"/>
              <w:rPr>
                <w:rFonts w:eastAsia="Calibri"/>
                <w:bCs/>
                <w:szCs w:val="28"/>
                <w:lang w:val="en-US"/>
              </w:rPr>
            </w:pPr>
            <w:r>
              <w:rPr>
                <w:rFonts w:eastAsia="Calibri"/>
                <w:bCs/>
                <w:szCs w:val="28"/>
                <w:lang w:val="en-US"/>
              </w:rPr>
              <w:t>1,5 ngày làm việc;</w:t>
            </w:r>
          </w:p>
          <w:p>
            <w:pPr>
              <w:spacing w:before="120" w:after="120" w:line="240" w:lineRule="auto"/>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xml:space="preserve">- </w:t>
            </w:r>
            <w:r>
              <w:rPr>
                <w:szCs w:val="28"/>
                <w:lang w:val="en-US"/>
              </w:rPr>
              <w:t>C</w:t>
            </w:r>
            <w:r>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Mẫu số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chứng thực từ Bằng “Tổ quốc </w:t>
      </w:r>
      <w:r>
        <w:rPr>
          <w:rStyle w:val="15"/>
          <w:rFonts w:asciiTheme="majorHAnsi" w:hAnsiTheme="majorHAnsi" w:cstheme="majorHAnsi"/>
          <w:color w:val="000000"/>
        </w:rPr>
        <w:t xml:space="preserve">ghi </w:t>
      </w:r>
      <w:r>
        <w:rPr>
          <w:rStyle w:val="15"/>
          <w:rFonts w:asciiTheme="majorHAnsi" w:hAnsiTheme="majorHAnsi" w:cstheme="majorHAnsi"/>
          <w:color w:val="000000"/>
          <w:lang w:eastAsia="vi-VN"/>
        </w:rPr>
        <w:t>công”.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Văn bản ủy quyền.</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spacing w:before="120"/>
        <w:ind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1.5. Kết quả thực hiện thủ tục hành chính: </w:t>
      </w:r>
      <w:r>
        <w:rPr>
          <w:rStyle w:val="15"/>
          <w:rFonts w:asciiTheme="majorHAnsi" w:hAnsiTheme="majorHAnsi" w:cstheme="majorHAnsi"/>
          <w:color w:val="000000"/>
          <w:lang w:eastAsia="vi-VN"/>
        </w:rPr>
        <w:t>Quyết định trợ cấp thờ cúng liệt sĩ.</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1.7. Tên mẫu đơn, mẫu tờ khai</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Đơn đề nghị giải quyết trợ cấp thờ cúng liệt sĩ (Mẫu số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1.8.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Người được ủy quyền thờ cúng liệt sĩ hoặc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đơn vị được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thờ cúng liệt sĩ được xác định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khoản </w:t>
      </w:r>
      <w:r>
        <w:rPr>
          <w:rStyle w:val="15"/>
          <w:rFonts w:asciiTheme="majorHAnsi" w:hAnsiTheme="majorHAnsi" w:cstheme="majorHAnsi"/>
          <w:color w:val="000000"/>
        </w:rPr>
        <w:t xml:space="preserve">6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28 </w:t>
      </w:r>
      <w:r>
        <w:rPr>
          <w:rStyle w:val="15"/>
          <w:rFonts w:asciiTheme="majorHAnsi" w:hAnsiTheme="majorHAnsi" w:cstheme="majorHAnsi"/>
          <w:color w:val="000000"/>
          <w:lang w:eastAsia="vi-VN"/>
        </w:rPr>
        <w:t>Nghị định số 131/2021/NĐ-CP.</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1.9. Căn cứ pháp lý của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Điều 28 </w:t>
      </w:r>
      <w:r>
        <w:rPr>
          <w:rStyle w:val="15"/>
          <w:rFonts w:asciiTheme="majorHAnsi" w:hAnsiTheme="majorHAnsi" w:cstheme="majorHAnsi"/>
          <w:color w:val="000000"/>
          <w:lang w:eastAsia="vi-VN"/>
        </w:rPr>
        <w:t xml:space="preserve">Nghị định số 131/2021/NĐ-CP ngày </w:t>
      </w:r>
      <w:r>
        <w:rPr>
          <w:rStyle w:val="15"/>
          <w:rFonts w:asciiTheme="majorHAnsi" w:hAnsiTheme="majorHAnsi" w:cstheme="majorHAnsi"/>
          <w:color w:val="000000"/>
        </w:rPr>
        <w:t xml:space="preserve">30/12/2021 </w:t>
      </w:r>
      <w:r>
        <w:rPr>
          <w:rStyle w:val="15"/>
          <w:rFonts w:asciiTheme="majorHAnsi" w:hAnsiTheme="majorHAnsi" w:cstheme="majorHAnsi"/>
          <w:color w:val="000000"/>
          <w:lang w:eastAsia="vi-VN"/>
        </w:rPr>
        <w:t xml:space="preserve">của Chính phủ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 xml:space="preserve">tiết và biện pháp </w:t>
      </w:r>
      <w:r>
        <w:rPr>
          <w:rStyle w:val="15"/>
          <w:rFonts w:asciiTheme="majorHAnsi" w:hAnsiTheme="majorHAnsi" w:cstheme="majorHAnsi"/>
          <w:color w:val="000000"/>
        </w:rPr>
        <w:t xml:space="preserve">thi </w:t>
      </w:r>
      <w:r>
        <w:rPr>
          <w:rStyle w:val="15"/>
          <w:rFonts w:asciiTheme="majorHAnsi" w:hAnsiTheme="majorHAnsi" w:cstheme="majorHAnsi"/>
          <w:color w:val="000000"/>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after="120"/>
        <w:jc w:val="right"/>
        <w:rPr>
          <w:sz w:val="26"/>
          <w:szCs w:val="26"/>
          <w:lang w:eastAsia="vi-VN"/>
        </w:rPr>
        <w:sectPr>
          <w:headerReference r:id="rId5" w:type="default"/>
          <w:pgSz w:w="16840" w:h="11907" w:orient="landscape"/>
          <w:pgMar w:top="1134" w:right="1134" w:bottom="1134" w:left="1701" w:header="709" w:footer="709" w:gutter="0"/>
          <w:cols w:space="720" w:num="1"/>
          <w:titlePg/>
          <w:docGrid w:linePitch="381" w:charSpace="0"/>
        </w:sectPr>
      </w:pPr>
    </w:p>
    <w:p>
      <w:pPr>
        <w:spacing w:before="120"/>
        <w:rPr>
          <w:rFonts w:ascii="Arial" w:hAnsi="Arial" w:cs="Arial"/>
          <w:sz w:val="20"/>
          <w:lang w:val="en-US"/>
        </w:rPr>
      </w:pPr>
    </w:p>
    <w:p>
      <w:pPr>
        <w:spacing w:before="120"/>
        <w:jc w:val="right"/>
        <w:rPr>
          <w:rFonts w:asciiTheme="majorHAnsi" w:hAnsiTheme="majorHAnsi" w:cstheme="majorHAnsi"/>
          <w:b/>
          <w:szCs w:val="28"/>
        </w:rPr>
        <w:sectPr>
          <w:headerReference r:id="rId6"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18</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Giải quyết chế độ trợ cấp thờ cúng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p>
    <w:p>
      <w:pPr>
        <w:spacing w:before="120" w:line="240" w:lineRule="auto"/>
        <w:rPr>
          <w:rFonts w:asciiTheme="majorHAnsi" w:hAnsiTheme="majorHAnsi" w:cstheme="majorHAnsi"/>
          <w:b/>
          <w:szCs w:val="28"/>
        </w:rPr>
      </w:pPr>
      <w:r>
        <w:rPr>
          <w:rFonts w:asciiTheme="majorHAnsi" w:hAnsiTheme="majorHAnsi" w:cstheme="majorHAnsi"/>
          <w:b/>
          <w:szCs w:val="28"/>
        </w:rPr>
        <w:t>1. Thông tin người đề nghị</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Mối quan hệ với liệt sĩ: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Được ủy quyền thờ cúng liệt sĩ</w:t>
      </w:r>
      <w:r>
        <w:rPr>
          <w:rFonts w:asciiTheme="majorHAnsi" w:hAnsiTheme="majorHAnsi" w:cstheme="majorHAnsi"/>
          <w:szCs w:val="28"/>
          <w:vertAlign w:val="superscript"/>
        </w:rPr>
        <w:t>1</w:t>
      </w:r>
      <w:r>
        <w:rPr>
          <w:rFonts w:asciiTheme="majorHAnsi" w:hAnsiTheme="majorHAnsi" w:cstheme="majorHAnsi"/>
          <w:szCs w:val="28"/>
        </w:rPr>
        <w:t>: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Bằng “Tổ quốc ghi công” số…… theo Quyết định số:……… ngày ........ tháng ........ năm ........... của Thủ tướng Chính phủ.</w:t>
      </w:r>
    </w:p>
    <w:p>
      <w:pPr>
        <w:spacing w:before="120" w:line="240" w:lineRule="auto"/>
        <w:rPr>
          <w:rFonts w:asciiTheme="majorHAnsi" w:hAnsiTheme="majorHAnsi" w:cstheme="majorHAnsi"/>
          <w:b/>
          <w:szCs w:val="28"/>
        </w:rPr>
      </w:pPr>
      <w:r>
        <w:rPr>
          <w:rFonts w:asciiTheme="majorHAnsi" w:hAnsiTheme="majorHAnsi" w:cstheme="majorHAnsi"/>
          <w:b/>
          <w:szCs w:val="28"/>
        </w:rPr>
        <w:t>2. Thông tin về thân nhân liệt sĩ</w:t>
      </w:r>
    </w:p>
    <w:tbl>
      <w:tblPr>
        <w:tblStyle w:val="4"/>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603"/>
        <w:gridCol w:w="1296"/>
        <w:gridCol w:w="1356"/>
        <w:gridCol w:w="1358"/>
        <w:gridCol w:w="1797"/>
        <w:gridCol w:w="26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STT</w:t>
            </w:r>
          </w:p>
        </w:tc>
        <w:tc>
          <w:tcPr>
            <w:tcW w:w="714"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Họ và tên</w:t>
            </w:r>
          </w:p>
        </w:tc>
        <w:tc>
          <w:tcPr>
            <w:tcW w:w="747"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s</w:t>
            </w:r>
            <w:r>
              <w:rPr>
                <w:rFonts w:asciiTheme="majorHAnsi" w:hAnsiTheme="majorHAnsi" w:cstheme="majorHAnsi"/>
                <w:b/>
                <w:szCs w:val="28"/>
                <w:lang w:val="en-US"/>
              </w:rPr>
              <w:t>i</w:t>
            </w:r>
            <w:r>
              <w:rPr>
                <w:rFonts w:asciiTheme="majorHAnsi" w:hAnsiTheme="majorHAnsi" w:cstheme="majorHAnsi"/>
                <w:b/>
                <w:szCs w:val="28"/>
              </w:rPr>
              <w:t>nh</w:t>
            </w:r>
          </w:p>
        </w:tc>
        <w:tc>
          <w:tcPr>
            <w:tcW w:w="748"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mất</w:t>
            </w:r>
          </w:p>
        </w:tc>
        <w:tc>
          <w:tcPr>
            <w:tcW w:w="990"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Nơi thường trú</w:t>
            </w:r>
          </w:p>
        </w:tc>
        <w:tc>
          <w:tcPr>
            <w:tcW w:w="1469"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Mối quan hệ với liệt sĩ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1</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2</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lang w:val="en-US"/>
              </w:rPr>
            </w:pPr>
            <w:r>
              <w:rPr>
                <w:rFonts w:asciiTheme="majorHAnsi" w:hAnsiTheme="majorHAnsi" w:cstheme="majorHAnsi"/>
                <w:szCs w:val="28"/>
                <w:lang w:val="en-US"/>
              </w:rPr>
              <w:t>...</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bl>
    <w:p>
      <w:pPr>
        <w:spacing w:before="120" w:line="240" w:lineRule="auto"/>
        <w:rPr>
          <w:rFonts w:asciiTheme="majorHAnsi" w:hAnsiTheme="majorHAnsi" w:cstheme="majorHAnsi"/>
          <w:szCs w:val="28"/>
          <w:lang w:val="en-US"/>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lang w:val="en-US"/>
        </w:rPr>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lang w:val="en-US"/>
        </w:rPr>
        <w:t>1</w:t>
      </w:r>
      <w:r>
        <w:rPr>
          <w:rFonts w:asciiTheme="majorHAnsi" w:hAnsiTheme="majorHAnsi" w:cstheme="majorHAnsi"/>
          <w:sz w:val="20"/>
          <w:szCs w:val="20"/>
          <w:lang w:val="en-US"/>
        </w:rPr>
        <w:t xml:space="preserve"> </w:t>
      </w:r>
      <w:r>
        <w:rPr>
          <w:rFonts w:asciiTheme="majorHAnsi" w:hAnsiTheme="majorHAnsi" w:cstheme="majorHAnsi"/>
          <w:sz w:val="20"/>
          <w:szCs w:val="20"/>
        </w:rPr>
        <w:t>Ghi họ và tên liệt sĩ.</w:t>
      </w:r>
    </w:p>
    <w:p>
      <w:pPr>
        <w:spacing w:line="240" w:lineRule="auto"/>
        <w:jc w:val="left"/>
        <w:rPr>
          <w:rFonts w:eastAsia="Times New Roman"/>
          <w:color w:val="000000"/>
          <w:sz w:val="20"/>
          <w:szCs w:val="20"/>
          <w:lang w:val="en-US" w:eastAsia="vi-VN"/>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bookmarkStart w:id="0" w:name="_GoBack"/>
      <w:bookmarkEnd w:id="0"/>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937437"/>
      <w:docPartObj>
        <w:docPartGallery w:val="AutoText"/>
      </w:docPartObj>
    </w:sdtPr>
    <w:sdtContent>
      <w:p>
        <w:pPr>
          <w:pStyle w:val="7"/>
          <w:jc w:val="center"/>
        </w:pPr>
        <w:r>
          <w:fldChar w:fldCharType="begin"/>
        </w:r>
        <w:r>
          <w:instrText xml:space="preserve"> PAGE   \* MERGEFORMAT </w:instrText>
        </w:r>
        <w:r>
          <w:fldChar w:fldCharType="separate"/>
        </w:r>
        <w:r>
          <w:t>6</w:t>
        </w:r>
        <w:r>
          <w:fldChar w:fldCharType="end"/>
        </w:r>
      </w:p>
    </w:sdtContent>
  </w:sdt>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433167"/>
      <w:docPartObj>
        <w:docPartGallery w:val="AutoText"/>
      </w:docPartObj>
    </w:sdtPr>
    <w:sdtContent>
      <w:p>
        <w:pPr>
          <w:pStyle w:val="7"/>
          <w:jc w:val="center"/>
        </w:pPr>
        <w:r>
          <w:fldChar w:fldCharType="begin"/>
        </w:r>
        <w:r>
          <w:instrText xml:space="preserve"> PAGE   \* MERGEFORMAT </w:instrText>
        </w:r>
        <w:r>
          <w:fldChar w:fldCharType="separate"/>
        </w:r>
        <w:r>
          <w:t>10</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130DB"/>
    <w:rsid w:val="00920268"/>
    <w:rsid w:val="009237FF"/>
    <w:rsid w:val="00925A33"/>
    <w:rsid w:val="00926DF2"/>
    <w:rsid w:val="00927903"/>
    <w:rsid w:val="00932F5F"/>
    <w:rsid w:val="009353F0"/>
    <w:rsid w:val="00935A65"/>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0B33136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94D2-C77E-4A1F-B03D-0CB56A477A56}">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1426</Words>
  <Characters>8132</Characters>
  <Lines>67</Lines>
  <Paragraphs>19</Paragraphs>
  <TotalTime>1</TotalTime>
  <ScaleCrop>false</ScaleCrop>
  <LinksUpToDate>false</LinksUpToDate>
  <CharactersWithSpaces>9539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2022-08-25T09:14:00Z</dcterms:created>
  <dc:creator>Administrator</dc:creator>
  <cp:lastModifiedBy>Binh Le</cp:lastModifiedBy>
  <dcterms:modified xsi:type="dcterms:W3CDTF">2023-06-21T10:25:25Z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7411CA870CD14EC68A7DEBF87CDBDD2B</vt:lpwstr>
  </property>
</Properties>
</file>